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B30456">
      <w:pPr>
        <w:ind w:left="0" w:firstLine="0"/>
        <w:jc w:val="center"/>
        <w:rPr>
          <w:rFonts w:hint="eastAsia"/>
          <w:color w:val="000000" w:themeColor="text1"/>
          <w:sz w:val="44"/>
          <w:szCs w:val="44"/>
          <w:highlight w:val="none"/>
          <w14:textFill>
            <w14:solidFill>
              <w14:schemeClr w14:val="tx1"/>
            </w14:solidFill>
          </w14:textFill>
        </w:rPr>
      </w:pPr>
    </w:p>
    <w:p w14:paraId="7D1D92AA">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南京师范大学</w:t>
      </w:r>
    </w:p>
    <w:p w14:paraId="6DFD35F0">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仙林校区及周边存量房出新改造</w:t>
      </w:r>
    </w:p>
    <w:p w14:paraId="6D9191C5">
      <w:pPr>
        <w:ind w:left="0" w:firstLine="0"/>
        <w:jc w:val="center"/>
        <w:rPr>
          <w:rFonts w:hint="eastAsia"/>
          <w:color w:val="000000" w:themeColor="text1"/>
          <w:sz w:val="44"/>
          <w:szCs w:val="44"/>
          <w:highlight w:val="none"/>
          <w14:textFill>
            <w14:solidFill>
              <w14:schemeClr w14:val="tx1"/>
            </w14:solidFill>
          </w14:textFill>
        </w:rPr>
      </w:pPr>
    </w:p>
    <w:p w14:paraId="56DC5C13">
      <w:pPr>
        <w:ind w:left="0" w:firstLine="0"/>
        <w:jc w:val="center"/>
        <w:rPr>
          <w:rFonts w:hint="eastAsia"/>
          <w:color w:val="000000" w:themeColor="text1"/>
          <w:sz w:val="44"/>
          <w:szCs w:val="44"/>
          <w:highlight w:val="none"/>
          <w14:textFill>
            <w14:solidFill>
              <w14:schemeClr w14:val="tx1"/>
            </w14:solidFill>
          </w14:textFill>
        </w:rPr>
      </w:pPr>
    </w:p>
    <w:p w14:paraId="52C4E910">
      <w:pPr>
        <w:ind w:left="0" w:firstLine="0"/>
        <w:jc w:val="center"/>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drawing>
          <wp:inline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3" name="图片 2" descr="我的插图-1"/>
                    <pic:cNvPicPr/>
                  </pic:nvPicPr>
                  <pic:blipFill>
                    <a:blip r:embed="rId8"/>
                    <a:stretch>
                      <a:fillRect/>
                    </a:stretch>
                  </pic:blipFill>
                  <pic:spPr>
                    <a:xfrm>
                      <a:off x="0" y="0"/>
                      <a:ext cx="1717675" cy="2131695"/>
                    </a:xfrm>
                    <a:prstGeom prst="rect">
                      <a:avLst/>
                    </a:prstGeom>
                    <a:noFill/>
                    <a:ln>
                      <a:noFill/>
                    </a:ln>
                  </pic:spPr>
                </pic:pic>
              </a:graphicData>
            </a:graphic>
          </wp:inline>
        </w:drawing>
      </w:r>
    </w:p>
    <w:p w14:paraId="63EDC7B6">
      <w:pPr>
        <w:ind w:left="0" w:firstLine="0"/>
        <w:jc w:val="center"/>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招 标 文 件</w:t>
      </w:r>
    </w:p>
    <w:p w14:paraId="6650A1CF">
      <w:pPr>
        <w:ind w:left="0" w:firstLine="0"/>
        <w:jc w:val="center"/>
        <w:rPr>
          <w:rFonts w:hint="eastAsia" w:eastAsia="宋体"/>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项目编号：</w:t>
      </w:r>
      <w:r>
        <w:rPr>
          <w:rFonts w:hint="eastAsia"/>
          <w:color w:val="000000" w:themeColor="text1"/>
          <w:sz w:val="36"/>
          <w:szCs w:val="36"/>
          <w:highlight w:val="none"/>
          <w:lang w:eastAsia="zh-CN"/>
          <w14:textFill>
            <w14:solidFill>
              <w14:schemeClr w14:val="tx1"/>
            </w14:solidFill>
          </w14:textFill>
        </w:rPr>
        <w:t>JSZC-320000-SNZX-G2026-0044</w:t>
      </w:r>
    </w:p>
    <w:p w14:paraId="46EA2E23">
      <w:pPr>
        <w:ind w:left="0" w:firstLine="0"/>
        <w:jc w:val="center"/>
        <w:rPr>
          <w:rFonts w:hint="eastAsia"/>
          <w:color w:val="000000" w:themeColor="text1"/>
          <w:sz w:val="44"/>
          <w:szCs w:val="44"/>
          <w:highlight w:val="none"/>
          <w14:textFill>
            <w14:solidFill>
              <w14:schemeClr w14:val="tx1"/>
            </w14:solidFill>
          </w14:textFill>
        </w:rPr>
      </w:pPr>
    </w:p>
    <w:p w14:paraId="6640E65D">
      <w:pPr>
        <w:ind w:left="0" w:firstLine="0"/>
        <w:jc w:val="center"/>
        <w:rPr>
          <w:rFonts w:hint="eastAsia"/>
          <w:color w:val="000000" w:themeColor="text1"/>
          <w:sz w:val="44"/>
          <w:szCs w:val="44"/>
          <w:highlight w:val="none"/>
          <w14:textFill>
            <w14:solidFill>
              <w14:schemeClr w14:val="tx1"/>
            </w14:solidFill>
          </w14:textFill>
        </w:rPr>
      </w:pPr>
    </w:p>
    <w:p w14:paraId="085BFDFE">
      <w:pPr>
        <w:ind w:left="0" w:firstLine="0"/>
        <w:jc w:val="left"/>
        <w:rPr>
          <w:rFonts w:hint="eastAsia" w:eastAsia="宋体"/>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采购人：</w:t>
      </w:r>
      <w:r>
        <w:rPr>
          <w:rFonts w:hint="eastAsia"/>
          <w:b/>
          <w:bCs/>
          <w:color w:val="000000" w:themeColor="text1"/>
          <w:sz w:val="36"/>
          <w:szCs w:val="36"/>
          <w:highlight w:val="none"/>
          <w:lang w:eastAsia="zh-CN"/>
          <w14:textFill>
            <w14:solidFill>
              <w14:schemeClr w14:val="tx1"/>
            </w14:solidFill>
          </w14:textFill>
        </w:rPr>
        <w:t>南京师范大学</w:t>
      </w:r>
    </w:p>
    <w:p w14:paraId="6F274677">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采购代理机构：南京苏宁工程咨询有限公司</w:t>
      </w:r>
    </w:p>
    <w:p w14:paraId="11771E28">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日期：二〇二</w:t>
      </w:r>
      <w:r>
        <w:rPr>
          <w:rFonts w:hint="eastAsia"/>
          <w:b/>
          <w:bCs/>
          <w:color w:val="000000" w:themeColor="text1"/>
          <w:sz w:val="36"/>
          <w:szCs w:val="36"/>
          <w:highlight w:val="none"/>
          <w:lang w:val="en-US" w:eastAsia="zh-CN"/>
          <w14:textFill>
            <w14:solidFill>
              <w14:schemeClr w14:val="tx1"/>
            </w14:solidFill>
          </w14:textFill>
        </w:rPr>
        <w:t>六</w:t>
      </w:r>
      <w:r>
        <w:rPr>
          <w:rFonts w:hint="eastAsia"/>
          <w:b/>
          <w:bCs/>
          <w:color w:val="000000" w:themeColor="text1"/>
          <w:sz w:val="36"/>
          <w:szCs w:val="36"/>
          <w:highlight w:val="none"/>
          <w14:textFill>
            <w14:solidFill>
              <w14:schemeClr w14:val="tx1"/>
            </w14:solidFill>
          </w14:textFill>
        </w:rPr>
        <w:t>年</w:t>
      </w:r>
      <w:r>
        <w:rPr>
          <w:rFonts w:hint="eastAsia"/>
          <w:b/>
          <w:bCs/>
          <w:color w:val="000000" w:themeColor="text1"/>
          <w:sz w:val="36"/>
          <w:szCs w:val="36"/>
          <w:highlight w:val="none"/>
          <w:lang w:val="en-US" w:eastAsia="zh-CN"/>
          <w14:textFill>
            <w14:solidFill>
              <w14:schemeClr w14:val="tx1"/>
            </w14:solidFill>
          </w14:textFill>
        </w:rPr>
        <w:t>四</w:t>
      </w:r>
      <w:r>
        <w:rPr>
          <w:rFonts w:hint="eastAsia"/>
          <w:b/>
          <w:bCs/>
          <w:color w:val="000000" w:themeColor="text1"/>
          <w:sz w:val="36"/>
          <w:szCs w:val="36"/>
          <w:highlight w:val="none"/>
          <w14:textFill>
            <w14:solidFill>
              <w14:schemeClr w14:val="tx1"/>
            </w14:solidFill>
          </w14:textFill>
        </w:rPr>
        <w:t>月</w:t>
      </w:r>
    </w:p>
    <w:p w14:paraId="444BDD1B">
      <w:pPr>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p>
    <w:p w14:paraId="36EAA18E">
      <w:pPr>
        <w:pStyle w:val="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第一章  投标邀请</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78446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noWrap w:val="0"/>
          </w:tcPr>
          <w:p w14:paraId="15A5D8F8">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项目概况</w:t>
            </w:r>
          </w:p>
          <w:p w14:paraId="53B2574B">
            <w:pPr>
              <w:rPr>
                <w:rFonts w:hint="eastAsia"/>
                <w:color w:val="000000" w:themeColor="text1"/>
                <w:highlight w:val="none"/>
                <w:vertAlign w:val="baseli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仙林校区及周边存量房出新改造</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招标项目的潜在投标人应在</w:t>
            </w:r>
            <w:r>
              <w:rPr>
                <w:rFonts w:hint="eastAsia"/>
                <w:color w:val="000000" w:themeColor="text1"/>
                <w:highlight w:val="none"/>
                <w:u w:val="single"/>
                <w:lang w:val="en-US" w:eastAsia="zh-CN"/>
                <w14:textFill>
                  <w14:solidFill>
                    <w14:schemeClr w14:val="tx1"/>
                  </w14:solidFill>
                </w14:textFill>
              </w:rPr>
              <w:t>江苏政府采购网</w:t>
            </w:r>
            <w:r>
              <w:rPr>
                <w:rFonts w:hint="eastAsia"/>
                <w:color w:val="000000" w:themeColor="text1"/>
                <w:highlight w:val="none"/>
                <w14:textFill>
                  <w14:solidFill>
                    <w14:schemeClr w14:val="tx1"/>
                  </w14:solidFill>
                </w14:textFill>
              </w:rPr>
              <w:t>获取招标文件，并于</w:t>
            </w:r>
            <w:r>
              <w:rPr>
                <w:rFonts w:hint="eastAsia"/>
                <w:color w:val="000000" w:themeColor="text1"/>
                <w:highlight w:val="none"/>
                <w:u w:val="single"/>
                <w:lang w:val="en-US" w:eastAsia="zh-CN"/>
                <w14:textFill>
                  <w14:solidFill>
                    <w14:schemeClr w14:val="tx1"/>
                  </w14:solidFill>
                </w14:textFill>
              </w:rPr>
              <w:t>2026</w:t>
            </w:r>
            <w:r>
              <w:rPr>
                <w:rFonts w:hint="eastAsia"/>
                <w:color w:val="000000" w:themeColor="text1"/>
                <w:highlight w:val="none"/>
                <w:u w:val="single"/>
                <w14:textFill>
                  <w14:solidFill>
                    <w14:schemeClr w14:val="tx1"/>
                  </w14:solidFill>
                </w14:textFill>
              </w:rPr>
              <w:t>年5月</w:t>
            </w:r>
            <w:r>
              <w:rPr>
                <w:rFonts w:hint="eastAsia"/>
                <w:color w:val="000000" w:themeColor="text1"/>
                <w:highlight w:val="none"/>
                <w:u w:val="single"/>
                <w:lang w:val="en-US" w:eastAsia="zh-CN"/>
                <w14:textFill>
                  <w14:solidFill>
                    <w14:schemeClr w14:val="tx1"/>
                  </w14:solidFill>
                </w14:textFill>
              </w:rPr>
              <w:t>11</w:t>
            </w:r>
            <w:r>
              <w:rPr>
                <w:rFonts w:hint="eastAsia"/>
                <w:color w:val="000000" w:themeColor="text1"/>
                <w:highlight w:val="none"/>
                <w:u w:val="single"/>
                <w14:textFill>
                  <w14:solidFill>
                    <w14:schemeClr w14:val="tx1"/>
                  </w14:solidFill>
                </w14:textFill>
              </w:rPr>
              <w:t>日9点</w:t>
            </w:r>
            <w:r>
              <w:rPr>
                <w:rFonts w:hint="eastAsia"/>
                <w:color w:val="000000" w:themeColor="text1"/>
                <w:highlight w:val="none"/>
                <w:u w:val="single"/>
                <w:lang w:val="en-US" w:eastAsia="zh-CN"/>
                <w14:textFill>
                  <w14:solidFill>
                    <w14:schemeClr w14:val="tx1"/>
                  </w14:solidFill>
                </w14:textFill>
              </w:rPr>
              <w:t>00</w:t>
            </w:r>
            <w:r>
              <w:rPr>
                <w:rFonts w:hint="eastAsia"/>
                <w:color w:val="000000" w:themeColor="text1"/>
                <w:highlight w:val="none"/>
                <w:u w:val="single"/>
                <w14:textFill>
                  <w14:solidFill>
                    <w14:schemeClr w14:val="tx1"/>
                  </w14:solidFill>
                </w14:textFill>
              </w:rPr>
              <w:t>分</w:t>
            </w:r>
            <w:r>
              <w:rPr>
                <w:rFonts w:hint="eastAsia"/>
                <w:color w:val="000000" w:themeColor="text1"/>
                <w:highlight w:val="none"/>
                <w14:textFill>
                  <w14:solidFill>
                    <w14:schemeClr w14:val="tx1"/>
                  </w14:solidFill>
                </w14:textFill>
              </w:rPr>
              <w:t>（北京时间）前递交投标文件。</w:t>
            </w:r>
          </w:p>
        </w:tc>
      </w:tr>
    </w:tbl>
    <w:p w14:paraId="3EC66A8F">
      <w:pPr>
        <w:pStyle w:val="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一、项目基本情况</w:t>
      </w:r>
    </w:p>
    <w:p w14:paraId="6D07C54F">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项目编号：</w:t>
      </w:r>
      <w:r>
        <w:rPr>
          <w:rFonts w:hint="eastAsia"/>
          <w:color w:val="000000" w:themeColor="text1"/>
          <w:highlight w:val="none"/>
          <w:lang w:eastAsia="zh-CN"/>
          <w14:textFill>
            <w14:solidFill>
              <w14:schemeClr w14:val="tx1"/>
            </w14:solidFill>
          </w14:textFill>
        </w:rPr>
        <w:t>JSZC-320000-SNZX-G2026-0044</w:t>
      </w:r>
    </w:p>
    <w:p w14:paraId="6D443C0E">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项目名称：</w:t>
      </w:r>
      <w:r>
        <w:rPr>
          <w:rFonts w:hint="eastAsia"/>
          <w:color w:val="000000" w:themeColor="text1"/>
          <w:highlight w:val="none"/>
          <w:lang w:eastAsia="zh-CN"/>
          <w14:textFill>
            <w14:solidFill>
              <w14:schemeClr w14:val="tx1"/>
            </w14:solidFill>
          </w14:textFill>
        </w:rPr>
        <w:t>仙林校区及周边存量房出新改造</w:t>
      </w:r>
    </w:p>
    <w:p w14:paraId="09CB2E30">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预算金额：</w:t>
      </w:r>
      <w:r>
        <w:rPr>
          <w:rFonts w:hint="eastAsia"/>
          <w:color w:val="000000" w:themeColor="text1"/>
          <w:highlight w:val="none"/>
          <w:lang w:val="en-US" w:eastAsia="zh-CN"/>
          <w14:textFill>
            <w14:solidFill>
              <w14:schemeClr w14:val="tx1"/>
            </w14:solidFill>
          </w14:textFill>
        </w:rPr>
        <w:t>196</w:t>
      </w:r>
      <w:r>
        <w:rPr>
          <w:rFonts w:hint="eastAsia"/>
          <w:color w:val="000000" w:themeColor="text1"/>
          <w:highlight w:val="none"/>
          <w14:textFill>
            <w14:solidFill>
              <w14:schemeClr w14:val="tx1"/>
            </w14:solidFill>
          </w14:textFill>
        </w:rPr>
        <w:t>万元</w:t>
      </w:r>
    </w:p>
    <w:p w14:paraId="1643E880">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最高限价：</w:t>
      </w:r>
      <w:r>
        <w:rPr>
          <w:rFonts w:hint="eastAsia"/>
          <w:color w:val="000000" w:themeColor="text1"/>
          <w:highlight w:val="none"/>
          <w:lang w:val="en-US" w:eastAsia="zh-CN"/>
          <w14:textFill>
            <w14:solidFill>
              <w14:schemeClr w14:val="tx1"/>
            </w14:solidFill>
          </w14:textFill>
        </w:rPr>
        <w:t>196</w:t>
      </w:r>
      <w:r>
        <w:rPr>
          <w:rFonts w:hint="eastAsia"/>
          <w:color w:val="000000" w:themeColor="text1"/>
          <w:highlight w:val="none"/>
          <w14:textFill>
            <w14:solidFill>
              <w14:schemeClr w14:val="tx1"/>
            </w14:solidFill>
          </w14:textFill>
        </w:rPr>
        <w:t>万元，报价超过最高限价的视为无效投标。</w:t>
      </w:r>
    </w:p>
    <w:p w14:paraId="70F626CE">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采购需求：本项目为南京师范大学仙林校区周边存量房出新工程，位于南京师范大学仙林校区，仙林大学城文苑路1号6、11、15、16、17、18幢部分存量房出新</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具体详见招标文件、工程量清单和图纸。</w:t>
      </w:r>
    </w:p>
    <w:p w14:paraId="0176A46B">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合同履行期限：30天</w:t>
      </w:r>
      <w:r>
        <w:rPr>
          <w:rFonts w:hint="eastAsia"/>
          <w:color w:val="000000" w:themeColor="text1"/>
          <w:highlight w:val="none"/>
          <w:lang w:eastAsia="zh-CN"/>
          <w14:textFill>
            <w14:solidFill>
              <w14:schemeClr w14:val="tx1"/>
            </w14:solidFill>
          </w14:textFill>
        </w:rPr>
        <w:t>。</w:t>
      </w:r>
    </w:p>
    <w:p w14:paraId="0C116FB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本项目（是/否）接受联合体投标：否。</w:t>
      </w:r>
    </w:p>
    <w:p w14:paraId="1356D671">
      <w:pPr>
        <w:pStyle w:val="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二、申请人的资格要求：</w:t>
      </w:r>
    </w:p>
    <w:p w14:paraId="09649078">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1.满足《中华人民共和国政府采购法》第二十二条规定；</w:t>
      </w:r>
    </w:p>
    <w:p w14:paraId="544F30D9">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（1）具有独立承担民事责任的能力（提供法人或者其他组织的营业执照，自然人的身份证明）；</w:t>
      </w:r>
    </w:p>
    <w:p w14:paraId="680FBF68">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（2）具有良好的商业信誉和健全的财务会计制度（提供以下三种材料的任意一种，复印件加盖公章）：</w:t>
      </w:r>
    </w:p>
    <w:p w14:paraId="3DFDB061">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①上一年度的经第三方会计师事务所审计的财务报告复印件</w:t>
      </w:r>
      <w:r>
        <w:rPr>
          <w:rFonts w:hint="eastAsia"/>
          <w:color w:val="000000" w:themeColor="text1"/>
          <w:highlight w:val="none"/>
          <w:lang w:eastAsia="zh-CN"/>
          <w14:textFill>
            <w14:solidFill>
              <w14:schemeClr w14:val="tx1"/>
            </w14:solidFill>
          </w14:textFill>
        </w:rPr>
        <w:t>（包括报告及报表等内容，并由注册会计师签名、盖章以及会计师事务所盖章）</w:t>
      </w:r>
      <w:r>
        <w:rPr>
          <w:rFonts w:hint="eastAsia"/>
          <w:color w:val="000000" w:themeColor="text1"/>
          <w:highlight w:val="none"/>
          <w14:textFill>
            <w14:solidFill>
              <w14:schemeClr w14:val="tx1"/>
            </w14:solidFill>
          </w14:textFill>
        </w:rPr>
        <w:t>；</w:t>
      </w:r>
    </w:p>
    <w:p w14:paraId="1944F9D5">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②提交投标文件截止日前六个月内基本开户银行出具的资信证明；</w:t>
      </w:r>
    </w:p>
    <w:p w14:paraId="15D44F9D">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③提交投标文件截止时间</w:t>
      </w:r>
      <w:r>
        <w:rPr>
          <w:rFonts w:hint="eastAsia"/>
          <w:color w:val="000000" w:themeColor="text1"/>
          <w:highlight w:val="none"/>
          <w:lang w:val="en-US" w:eastAsia="zh-CN"/>
          <w14:textFill>
            <w14:solidFill>
              <w14:schemeClr w14:val="tx1"/>
            </w14:solidFill>
          </w14:textFill>
        </w:rPr>
        <w:t>前六个月内</w:t>
      </w:r>
      <w:r>
        <w:rPr>
          <w:rFonts w:hint="eastAsia"/>
          <w:color w:val="000000" w:themeColor="text1"/>
          <w:highlight w:val="none"/>
          <w14:textFill>
            <w14:solidFill>
              <w14:schemeClr w14:val="tx1"/>
            </w14:solidFill>
          </w14:textFill>
        </w:rPr>
        <w:t>任意一个月的财务状况记录（至少包括资产负债表和损益表，并加盖公章）。</w:t>
      </w:r>
    </w:p>
    <w:p w14:paraId="50B910F7">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或</w:t>
      </w:r>
      <w:r>
        <w:rPr>
          <w:rFonts w:hint="eastAsia"/>
          <w:color w:val="000000" w:themeColor="text1"/>
          <w:highlight w:val="none"/>
          <w14:textFill>
            <w14:solidFill>
              <w14:schemeClr w14:val="tx1"/>
            </w14:solidFill>
          </w14:textFill>
        </w:rPr>
        <w:t>证明材料）；</w:t>
      </w:r>
    </w:p>
    <w:p w14:paraId="167CDAB4">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（4）有依法缴纳税收和社会保障资金的良好记录</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w:t>
      </w:r>
    </w:p>
    <w:p w14:paraId="7A99E4AD">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225F40EB">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（6）法律、行政法规规定的其他条件。</w:t>
      </w:r>
    </w:p>
    <w:p w14:paraId="52A92C01">
      <w:pP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2.落实政府采购政策需满足的资格要求：</w:t>
      </w:r>
      <w:r>
        <w:rPr>
          <w:rFonts w:hint="eastAsia" w:ascii="宋体" w:hAnsi="宋体"/>
          <w:sz w:val="24"/>
          <w:szCs w:val="24"/>
        </w:rPr>
        <w:t>本项目专门面向中小微型企业采购。残疾人福利性单位、监狱和戒毒企业（简称监狱企业）视同小型、微型企业。（</w:t>
      </w:r>
      <w:r>
        <w:rPr>
          <w:rFonts w:hint="eastAsia" w:ascii="宋体" w:hAnsi="宋体"/>
          <w:sz w:val="24"/>
          <w:szCs w:val="24"/>
          <w:lang w:val="en-US" w:eastAsia="zh-CN"/>
        </w:rPr>
        <w:t>投标人</w:t>
      </w:r>
      <w:r>
        <w:rPr>
          <w:rFonts w:hint="eastAsia" w:ascii="宋体" w:hAnsi="宋体"/>
          <w:sz w:val="24"/>
          <w:szCs w:val="24"/>
        </w:rPr>
        <w:t>按要求填写并提供《中小企业声明函》或《残疾人福利性单位声明函》，或提供由省级以上监狱管理局、戒毒管理局(含新疆生产建设兵团)出具的属于监狱企业的证明文件。）</w:t>
      </w:r>
    </w:p>
    <w:p w14:paraId="497DA6BF">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3.本项目的特定资格要求：</w:t>
      </w:r>
    </w:p>
    <w:p w14:paraId="6FA9AC66">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lang w:eastAsia="zh-CN"/>
          <w14:textFill>
            <w14:solidFill>
              <w14:schemeClr w14:val="tx1"/>
            </w14:solidFill>
          </w14:textFill>
        </w:rPr>
        <w:t>具有建筑装修装饰工程专业承包二级及以上资质并取得安全生产许可证。（提供有效的资质证书及安全生产许可证</w:t>
      </w:r>
      <w:r>
        <w:rPr>
          <w:rFonts w:hint="eastAsia"/>
          <w:color w:val="000000" w:themeColor="text1"/>
          <w:highlight w:val="none"/>
          <w:lang w:val="en-US" w:eastAsia="zh-CN"/>
          <w14:textFill>
            <w14:solidFill>
              <w14:schemeClr w14:val="tx1"/>
            </w14:solidFill>
          </w14:textFill>
        </w:rPr>
        <w:t>扫描件</w:t>
      </w:r>
      <w:r>
        <w:rPr>
          <w:rFonts w:hint="eastAsia"/>
          <w:color w:val="000000" w:themeColor="text1"/>
          <w:highlight w:val="none"/>
          <w:lang w:eastAsia="zh-CN"/>
          <w14:textFill>
            <w14:solidFill>
              <w14:schemeClr w14:val="tx1"/>
            </w14:solidFill>
          </w14:textFill>
        </w:rPr>
        <w:t>加盖公章）</w:t>
      </w:r>
    </w:p>
    <w:p w14:paraId="2DCE7F11">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lang w:eastAsia="zh-CN"/>
          <w14:textFill>
            <w14:solidFill>
              <w14:schemeClr w14:val="tx1"/>
            </w14:solidFill>
          </w14:textFill>
        </w:rPr>
        <w:t>）</w:t>
      </w:r>
      <w:r>
        <w:rPr>
          <w:rFonts w:hint="eastAsia" w:eastAsia="宋体"/>
          <w:color w:val="000000" w:themeColor="text1"/>
          <w:highlight w:val="none"/>
          <w:lang w:val="en-US" w:eastAsia="zh-CN"/>
          <w14:textFill>
            <w14:solidFill>
              <w14:schemeClr w14:val="tx1"/>
            </w14:solidFill>
          </w14:textFill>
        </w:rPr>
        <w:t>项目负责人</w:t>
      </w:r>
      <w:r>
        <w:rPr>
          <w:rFonts w:hint="eastAsia"/>
          <w:color w:val="000000" w:themeColor="text1"/>
          <w:highlight w:val="none"/>
          <w:lang w:eastAsia="zh-CN"/>
          <w14:textFill>
            <w14:solidFill>
              <w14:schemeClr w14:val="tx1"/>
            </w14:solidFill>
          </w14:textFill>
        </w:rPr>
        <w:t>具有二级及以上注册建造师（建筑工程专业）并具有安全生产考核合格证书（B类）。（提供有效证书</w:t>
      </w:r>
      <w:r>
        <w:rPr>
          <w:rFonts w:hint="eastAsia"/>
          <w:color w:val="000000" w:themeColor="text1"/>
          <w:highlight w:val="none"/>
          <w:lang w:val="en-US" w:eastAsia="zh-CN"/>
          <w14:textFill>
            <w14:solidFill>
              <w14:schemeClr w14:val="tx1"/>
            </w14:solidFill>
          </w14:textFill>
        </w:rPr>
        <w:t>扫描件</w:t>
      </w:r>
      <w:r>
        <w:rPr>
          <w:rFonts w:hint="eastAsia"/>
          <w:color w:val="000000" w:themeColor="text1"/>
          <w:highlight w:val="none"/>
          <w:lang w:eastAsia="zh-CN"/>
          <w14:textFill>
            <w14:solidFill>
              <w14:schemeClr w14:val="tx1"/>
            </w14:solidFill>
          </w14:textFill>
        </w:rPr>
        <w:t>加盖公章</w:t>
      </w:r>
      <w:r>
        <w:rPr>
          <w:rFonts w:hint="eastAsia"/>
          <w:color w:val="000000" w:themeColor="text1"/>
          <w:highlight w:val="none"/>
          <w:lang w:val="en-US" w:eastAsia="zh-CN"/>
          <w14:textFill>
            <w14:solidFill>
              <w14:schemeClr w14:val="tx1"/>
            </w14:solidFill>
          </w14:textFill>
        </w:rPr>
        <w:t>及社保机构出具的投标截止时间前六个月内任意一个月投标人为其缴纳的社保缴费证明【加盖社保公章或具有可验证的二维码（或验证码）】</w:t>
      </w:r>
      <w:r>
        <w:rPr>
          <w:rFonts w:hint="eastAsia"/>
          <w:color w:val="000000" w:themeColor="text1"/>
          <w:highlight w:val="none"/>
          <w:lang w:eastAsia="zh-CN"/>
          <w14:textFill>
            <w14:solidFill>
              <w14:schemeClr w14:val="tx1"/>
            </w14:solidFill>
          </w14:textFill>
        </w:rPr>
        <w:t>）</w:t>
      </w:r>
    </w:p>
    <w:p w14:paraId="07DC410C">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lang w:eastAsia="zh-CN"/>
          <w14:textFill>
            <w14:solidFill>
              <w14:schemeClr w14:val="tx1"/>
            </w14:solidFill>
          </w14:textFill>
        </w:rPr>
        <w:t>）供应商满足以下条件（提供承诺书</w:t>
      </w:r>
      <w:r>
        <w:rPr>
          <w:rFonts w:hint="eastAsia"/>
          <w:color w:val="000000" w:themeColor="text1"/>
          <w:highlight w:val="none"/>
          <w:lang w:val="en-US" w:eastAsia="zh-CN"/>
          <w14:textFill>
            <w14:solidFill>
              <w14:schemeClr w14:val="tx1"/>
            </w14:solidFill>
          </w14:textFill>
        </w:rPr>
        <w:t>加盖公章</w:t>
      </w:r>
      <w:r>
        <w:rPr>
          <w:rFonts w:hint="eastAsia"/>
          <w:color w:val="000000" w:themeColor="text1"/>
          <w:highlight w:val="none"/>
          <w:lang w:eastAsia="zh-CN"/>
          <w14:textFill>
            <w14:solidFill>
              <w14:schemeClr w14:val="tx1"/>
            </w14:solidFill>
          </w14:textFill>
        </w:rPr>
        <w:t>）：</w:t>
      </w:r>
    </w:p>
    <w:p w14:paraId="73B0E3BB">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a.未处于被责令停业、投标资格被取消或财产被接管、冻结和破产状态的企业；</w:t>
      </w:r>
    </w:p>
    <w:p w14:paraId="278A4262">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b.企业没有因骗取中标、严重违约或者违规用工、拖欠工人工资以及发生重大工程质量、安全生产事故等问题，被有关部门暂停投标资格并在暂停期内的。</w:t>
      </w:r>
    </w:p>
    <w:p w14:paraId="6C594B10">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c.项目负责人参加该项目</w:t>
      </w:r>
      <w:r>
        <w:rPr>
          <w:rFonts w:hint="eastAsia"/>
          <w:color w:val="000000" w:themeColor="text1"/>
          <w:highlight w:val="none"/>
          <w:lang w:val="en-US" w:eastAsia="zh-CN"/>
          <w14:textFill>
            <w14:solidFill>
              <w14:schemeClr w14:val="tx1"/>
            </w14:solidFill>
          </w14:textFill>
        </w:rPr>
        <w:t>投标</w:t>
      </w:r>
      <w:r>
        <w:rPr>
          <w:rFonts w:hint="eastAsia"/>
          <w:color w:val="000000" w:themeColor="text1"/>
          <w:highlight w:val="none"/>
          <w:lang w:eastAsia="zh-CN"/>
          <w14:textFill>
            <w14:solidFill>
              <w14:schemeClr w14:val="tx1"/>
            </w14:solidFill>
          </w14:textFill>
        </w:rPr>
        <w:t>时无在建工程。</w:t>
      </w:r>
    </w:p>
    <w:p w14:paraId="6DAB6F8B">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4）根据《关于开展建筑业企业资质动态监管工作的公告》（2018）第6号）、《关于建筑业企业资质动态监管不合格企业参加招投标相关事宜的复函》（苏建函建管（2019）233号），《关于开展南京市建筑业企业资质动态核查的通知》（宁建建监字【2020】388号）相关文件要求，</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lang w:eastAsia="zh-CN"/>
          <w14:textFill>
            <w14:solidFill>
              <w14:schemeClr w14:val="tx1"/>
            </w14:solidFill>
          </w14:textFill>
        </w:rPr>
        <w:t>应自觉确保本单位资质状态符合省、市相关文件规定，在本工程的资格审查阶段，将由</w:t>
      </w:r>
      <w:r>
        <w:rPr>
          <w:rFonts w:hint="eastAsia"/>
          <w:color w:val="000000" w:themeColor="text1"/>
          <w:highlight w:val="none"/>
          <w:lang w:val="en-US" w:eastAsia="zh-CN"/>
          <w14:textFill>
            <w14:solidFill>
              <w14:schemeClr w14:val="tx1"/>
            </w14:solidFill>
          </w14:textFill>
        </w:rPr>
        <w:t>评标委员会</w:t>
      </w:r>
      <w:r>
        <w:rPr>
          <w:rFonts w:hint="eastAsia"/>
          <w:color w:val="000000" w:themeColor="text1"/>
          <w:highlight w:val="none"/>
          <w:lang w:eastAsia="zh-CN"/>
          <w14:textFill>
            <w14:solidFill>
              <w14:schemeClr w14:val="tx1"/>
            </w14:solidFill>
          </w14:textFill>
        </w:rPr>
        <w:t>对各</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lang w:eastAsia="zh-CN"/>
          <w14:textFill>
            <w14:solidFill>
              <w14:schemeClr w14:val="tx1"/>
            </w14:solidFill>
          </w14:textFill>
        </w:rPr>
        <w:t>的资质动态监管情况进行核查，若</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lang w:eastAsia="zh-CN"/>
          <w14:textFill>
            <w14:solidFill>
              <w14:schemeClr w14:val="tx1"/>
            </w14:solidFill>
          </w14:textFill>
        </w:rPr>
        <w:t>用于</w:t>
      </w:r>
      <w:r>
        <w:rPr>
          <w:rFonts w:hint="eastAsia"/>
          <w:color w:val="000000" w:themeColor="text1"/>
          <w:highlight w:val="none"/>
          <w:lang w:val="en-US" w:eastAsia="zh-CN"/>
          <w14:textFill>
            <w14:solidFill>
              <w14:schemeClr w14:val="tx1"/>
            </w14:solidFill>
          </w14:textFill>
        </w:rPr>
        <w:t>投标</w:t>
      </w:r>
      <w:r>
        <w:rPr>
          <w:rFonts w:hint="eastAsia"/>
          <w:color w:val="000000" w:themeColor="text1"/>
          <w:highlight w:val="none"/>
          <w:lang w:eastAsia="zh-CN"/>
          <w14:textFill>
            <w14:solidFill>
              <w14:schemeClr w14:val="tx1"/>
            </w14:solidFill>
          </w14:textFill>
        </w:rPr>
        <w:t>的资质核查结果为不达标，仍在公示期的，按照资格审查不合格处理。（企业动态资质查询信息以江苏省建筑市场监管与诚信信息一体化平台发布的信息为准）</w:t>
      </w:r>
    </w:p>
    <w:p w14:paraId="36260027">
      <w:pPr>
        <w:pStyle w:val="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三、获取招标文件</w:t>
      </w:r>
    </w:p>
    <w:p w14:paraId="48498E0B">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时间：自招标文件公告发布之日起5个工作日</w:t>
      </w:r>
    </w:p>
    <w:p w14:paraId="009F708B">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地点：</w:t>
      </w:r>
      <w:r>
        <w:rPr>
          <w:rFonts w:hint="eastAsia" w:ascii="宋体" w:hAnsi="宋体" w:cs="宋体"/>
          <w:color w:val="000000" w:themeColor="text1"/>
          <w:sz w:val="24"/>
          <w:highlight w:val="none"/>
          <w14:textFill>
            <w14:solidFill>
              <w14:schemeClr w14:val="tx1"/>
            </w14:solidFill>
          </w14:textFill>
        </w:rPr>
        <w:t>江苏政府采购网</w:t>
      </w:r>
    </w:p>
    <w:p w14:paraId="4110EF77">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方式：供应商登录“江苏政府采购网”，在网站首页点击“苏采云”→使用CA锁登录系统（新用户需进行“平台用户注册”）→“项目参与”进行登记，在“可参与项目”中选择“我要参与”，参与成功后到“已参与项目”中找到对应项目并进行操作。</w:t>
      </w:r>
    </w:p>
    <w:p w14:paraId="25B51886">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售价：0元</w:t>
      </w:r>
    </w:p>
    <w:p w14:paraId="226DDD0F">
      <w:pPr>
        <w:pStyle w:val="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四、提交投标文件截止时间、开标时间和地点</w:t>
      </w:r>
    </w:p>
    <w:p w14:paraId="19CC3281">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提交投标文件截止时间</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开标时间</w:t>
      </w:r>
      <w:r>
        <w:rPr>
          <w:rFonts w:hint="eastAsia"/>
          <w:color w:val="000000" w:themeColor="text1"/>
          <w:highlight w:val="none"/>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2026</w:t>
      </w:r>
      <w:r>
        <w:rPr>
          <w:rFonts w:hint="eastAsia"/>
          <w:color w:val="000000" w:themeColor="text1"/>
          <w:highlight w:val="none"/>
          <w:u w:val="single"/>
          <w14:textFill>
            <w14:solidFill>
              <w14:schemeClr w14:val="tx1"/>
            </w14:solidFill>
          </w14:textFill>
        </w:rPr>
        <w:t>年5月</w:t>
      </w:r>
      <w:r>
        <w:rPr>
          <w:rFonts w:hint="eastAsia"/>
          <w:color w:val="000000" w:themeColor="text1"/>
          <w:highlight w:val="none"/>
          <w:u w:val="single"/>
          <w:lang w:val="en-US" w:eastAsia="zh-CN"/>
          <w14:textFill>
            <w14:solidFill>
              <w14:schemeClr w14:val="tx1"/>
            </w14:solidFill>
          </w14:textFill>
        </w:rPr>
        <w:t>11</w:t>
      </w:r>
      <w:r>
        <w:rPr>
          <w:rFonts w:hint="eastAsia"/>
          <w:color w:val="000000" w:themeColor="text1"/>
          <w:highlight w:val="none"/>
          <w:u w:val="single"/>
          <w14:textFill>
            <w14:solidFill>
              <w14:schemeClr w14:val="tx1"/>
            </w14:solidFill>
          </w14:textFill>
        </w:rPr>
        <w:t>日9点</w:t>
      </w:r>
      <w:r>
        <w:rPr>
          <w:rFonts w:hint="eastAsia"/>
          <w:color w:val="000000" w:themeColor="text1"/>
          <w:highlight w:val="none"/>
          <w:u w:val="single"/>
          <w:lang w:val="en-US" w:eastAsia="zh-CN"/>
          <w14:textFill>
            <w14:solidFill>
              <w14:schemeClr w14:val="tx1"/>
            </w14:solidFill>
          </w14:textFill>
        </w:rPr>
        <w:t>00</w:t>
      </w:r>
      <w:r>
        <w:rPr>
          <w:rFonts w:hint="eastAsia"/>
          <w:color w:val="000000" w:themeColor="text1"/>
          <w:highlight w:val="none"/>
          <w:u w:val="single"/>
          <w14:textFill>
            <w14:solidFill>
              <w14:schemeClr w14:val="tx1"/>
            </w14:solidFill>
          </w14:textFill>
        </w:rPr>
        <w:t>分</w:t>
      </w:r>
      <w:r>
        <w:rPr>
          <w:rFonts w:hint="eastAsia"/>
          <w:color w:val="000000" w:themeColor="text1"/>
          <w:highlight w:val="none"/>
          <w14:textFill>
            <w14:solidFill>
              <w14:schemeClr w14:val="tx1"/>
            </w14:solidFill>
          </w14:textFill>
        </w:rPr>
        <w:t>（北京时间）</w:t>
      </w:r>
    </w:p>
    <w:p w14:paraId="1BBDA904">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地点：</w:t>
      </w:r>
      <w:r>
        <w:rPr>
          <w:rFonts w:hint="eastAsia" w:ascii="宋体" w:hAnsi="宋体" w:cs="宋体"/>
          <w:color w:val="000000" w:themeColor="text1"/>
          <w:sz w:val="24"/>
          <w:highlight w:val="none"/>
          <w:u w:val="single"/>
          <w14:textFill>
            <w14:solidFill>
              <w14:schemeClr w14:val="tx1"/>
            </w14:solidFill>
          </w14:textFill>
        </w:rPr>
        <w:t>江苏省政府采购交易系统（以下简称“苏采云系统”）网上开标大厅</w:t>
      </w:r>
    </w:p>
    <w:p w14:paraId="04DF8746">
      <w:pPr>
        <w:pStyle w:val="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五、公告期限</w:t>
      </w:r>
    </w:p>
    <w:p w14:paraId="377CF610">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自本公告发布之日起5个工作日。</w:t>
      </w:r>
    </w:p>
    <w:p w14:paraId="0E7D97D3">
      <w:pPr>
        <w:pStyle w:val="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六、其他补充事宜</w:t>
      </w:r>
    </w:p>
    <w:p w14:paraId="7760B18E">
      <w:pP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1.本项目标的所属行业：</w:t>
      </w:r>
      <w:r>
        <w:rPr>
          <w:rFonts w:hint="eastAsia"/>
          <w:color w:val="000000" w:themeColor="text1"/>
          <w:highlight w:val="none"/>
          <w:lang w:val="en-US" w:eastAsia="zh-CN"/>
          <w14:textFill>
            <w14:solidFill>
              <w14:schemeClr w14:val="tx1"/>
            </w14:solidFill>
          </w14:textFill>
        </w:rPr>
        <w:t>建筑业。</w:t>
      </w:r>
    </w:p>
    <w:p w14:paraId="6CD95B6B">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2.本项目不接受联合体投标，不接受转包、分包。</w:t>
      </w:r>
    </w:p>
    <w:p w14:paraId="2D2D8F99">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3.拒绝下述投标人参加本次采购活动：</w:t>
      </w:r>
    </w:p>
    <w:p w14:paraId="771682C1">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（1）投标人单位负责人为同一人或者存在直接控股、管理关系的不同投标人，不得参加同一合同项下的采购活动。</w:t>
      </w:r>
    </w:p>
    <w:p w14:paraId="55EDB1CE">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（2）凡为采购项目提供整体设计、规范编制或者项目管理、监理、检测等服务的投标人，不得再参加本项目的采购活动。</w:t>
      </w:r>
    </w:p>
    <w:p w14:paraId="1DFC3CC8">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（3）拒绝列入失信被执行人、重大税收违法失信主体、政府采购严重违法失信行为记录名单中的投标人参加本项目的采购活动。</w:t>
      </w:r>
    </w:p>
    <w:p w14:paraId="67399EEA">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集中考察或答疑：采购人组织统一勘察，供应商可自行联系采购人。未踏勘现场或踏勘工作不详细的供应商中标后，不得以不完全了解现场情况为理由而向采购人提出任何索赔或其他要求，对此采购人不承担任何责任并将不作任何答复。</w:t>
      </w:r>
    </w:p>
    <w:p w14:paraId="06C87D2D">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勘查事项：</w:t>
      </w:r>
    </w:p>
    <w:p w14:paraId="3477C121">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统一踏勘</w:t>
      </w:r>
      <w:r>
        <w:rPr>
          <w:rFonts w:hint="eastAsia"/>
          <w:color w:val="000000" w:themeColor="text1"/>
          <w:highlight w:val="none"/>
          <w14:textFill>
            <w14:solidFill>
              <w14:schemeClr w14:val="tx1"/>
            </w14:solidFill>
          </w14:textFill>
        </w:rPr>
        <w:t>时间：2026年</w:t>
      </w: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28</w:t>
      </w:r>
      <w:r>
        <w:rPr>
          <w:rFonts w:hint="eastAsia"/>
          <w:color w:val="000000" w:themeColor="text1"/>
          <w:highlight w:val="none"/>
          <w14:textFill>
            <w14:solidFill>
              <w14:schemeClr w14:val="tx1"/>
            </w14:solidFill>
          </w14:textFill>
        </w:rPr>
        <w:t>日</w:t>
      </w:r>
      <w:r>
        <w:rPr>
          <w:rFonts w:hint="eastAsia"/>
          <w:color w:val="000000" w:themeColor="text1"/>
          <w:highlight w:val="none"/>
          <w:lang w:val="en-US" w:eastAsia="zh-CN"/>
          <w14:textFill>
            <w14:solidFill>
              <w14:schemeClr w14:val="tx1"/>
            </w14:solidFill>
          </w14:textFill>
        </w:rPr>
        <w:t>14</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00</w:t>
      </w:r>
      <w:r>
        <w:rPr>
          <w:rFonts w:hint="eastAsia"/>
          <w:color w:val="000000" w:themeColor="text1"/>
          <w:highlight w:val="none"/>
          <w14:textFill>
            <w14:solidFill>
              <w14:schemeClr w14:val="tx1"/>
            </w14:solidFill>
          </w14:textFill>
        </w:rPr>
        <w:t>；</w:t>
      </w:r>
    </w:p>
    <w:p w14:paraId="27142651">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采购人</w:t>
      </w:r>
      <w:r>
        <w:rPr>
          <w:rFonts w:hint="eastAsia"/>
          <w:color w:val="000000" w:themeColor="text1"/>
          <w:highlight w:val="none"/>
          <w14:textFill>
            <w14:solidFill>
              <w14:schemeClr w14:val="tx1"/>
            </w14:solidFill>
          </w14:textFill>
        </w:rPr>
        <w:t>联系人：</w:t>
      </w:r>
      <w:r>
        <w:rPr>
          <w:rFonts w:hint="eastAsia"/>
          <w:color w:val="000000" w:themeColor="text1"/>
          <w:highlight w:val="none"/>
          <w:lang w:val="en-US" w:eastAsia="zh-CN"/>
          <w14:textFill>
            <w14:solidFill>
              <w14:schemeClr w14:val="tx1"/>
            </w14:solidFill>
          </w14:textFill>
        </w:rPr>
        <w:t>刘</w:t>
      </w:r>
      <w:r>
        <w:rPr>
          <w:rFonts w:hint="eastAsia"/>
          <w:color w:val="000000" w:themeColor="text1"/>
          <w:highlight w:val="none"/>
          <w14:textFill>
            <w14:solidFill>
              <w14:schemeClr w14:val="tx1"/>
            </w14:solidFill>
          </w14:textFill>
        </w:rPr>
        <w:t>老师，联系电话：025-</w:t>
      </w:r>
      <w:r>
        <w:rPr>
          <w:rFonts w:hint="eastAsia"/>
          <w:color w:val="000000" w:themeColor="text1"/>
          <w:highlight w:val="none"/>
          <w:lang w:val="en-US" w:eastAsia="zh-CN"/>
          <w14:textFill>
            <w14:solidFill>
              <w14:schemeClr w14:val="tx1"/>
            </w14:solidFill>
          </w14:textFill>
        </w:rPr>
        <w:t xml:space="preserve"> 83598507</w:t>
      </w:r>
    </w:p>
    <w:p w14:paraId="6C60DECF">
      <w:pPr>
        <w:rPr>
          <w:rFonts w:hint="default"/>
          <w:color w:val="000000" w:themeColor="text1"/>
          <w:highlight w:val="none"/>
          <w:lang w:val="en-US"/>
          <w14:textFill>
            <w14:solidFill>
              <w14:schemeClr w14:val="tx1"/>
            </w14:solidFill>
          </w14:textFill>
        </w:rPr>
      </w:pPr>
      <w:r>
        <w:rPr>
          <w:rFonts w:hint="eastAsia"/>
          <w:color w:val="000000" w:themeColor="text1"/>
          <w:highlight w:val="none"/>
          <w14:textFill>
            <w14:solidFill>
              <w14:schemeClr w14:val="tx1"/>
            </w14:solidFill>
          </w14:textFill>
        </w:rPr>
        <w:t>（3）地点：南京师范大学</w:t>
      </w:r>
      <w:r>
        <w:rPr>
          <w:rFonts w:hint="eastAsia"/>
          <w:color w:val="000000" w:themeColor="text1"/>
          <w:highlight w:val="none"/>
          <w:lang w:val="en-US" w:eastAsia="zh-CN"/>
          <w14:textFill>
            <w14:solidFill>
              <w14:schemeClr w14:val="tx1"/>
            </w14:solidFill>
          </w14:textFill>
        </w:rPr>
        <w:t>茶苑西门集合</w:t>
      </w:r>
    </w:p>
    <w:p w14:paraId="6AF33EAF">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投标人如需现场勘查需在上述时间</w:t>
      </w:r>
      <w:r>
        <w:rPr>
          <w:rFonts w:hint="eastAsia"/>
          <w:color w:val="000000" w:themeColor="text1"/>
          <w:highlight w:val="none"/>
          <w:lang w:val="en-US" w:eastAsia="zh-CN"/>
          <w14:textFill>
            <w14:solidFill>
              <w14:schemeClr w14:val="tx1"/>
            </w14:solidFill>
          </w14:textFill>
        </w:rPr>
        <w:t>前</w:t>
      </w:r>
      <w:r>
        <w:rPr>
          <w:rFonts w:hint="eastAsia"/>
          <w:color w:val="000000" w:themeColor="text1"/>
          <w:highlight w:val="none"/>
          <w14:textFill>
            <w14:solidFill>
              <w14:schemeClr w14:val="tx1"/>
            </w14:solidFill>
          </w14:textFill>
        </w:rPr>
        <w:t>与</w:t>
      </w:r>
      <w:r>
        <w:rPr>
          <w:rFonts w:hint="eastAsia"/>
          <w:color w:val="000000" w:themeColor="text1"/>
          <w:highlight w:val="none"/>
          <w:lang w:val="en-US" w:eastAsia="zh-CN"/>
          <w14:textFill>
            <w14:solidFill>
              <w14:schemeClr w14:val="tx1"/>
            </w14:solidFill>
          </w14:textFill>
        </w:rPr>
        <w:t>采购代理机构</w:t>
      </w:r>
      <w:r>
        <w:rPr>
          <w:rFonts w:hint="eastAsia"/>
          <w:color w:val="000000" w:themeColor="text1"/>
          <w:highlight w:val="none"/>
          <w14:textFill>
            <w14:solidFill>
              <w14:schemeClr w14:val="tx1"/>
            </w14:solidFill>
          </w14:textFill>
        </w:rPr>
        <w:t>取得联系</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025-84207240</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并按要求办理好入校手续</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因未及时联系导致无法入校踏勘的后果自负</w:t>
      </w:r>
      <w:r>
        <w:rPr>
          <w:rFonts w:hint="eastAsia"/>
          <w:color w:val="000000" w:themeColor="text1"/>
          <w:highlight w:val="none"/>
          <w14:textFill>
            <w14:solidFill>
              <w14:schemeClr w14:val="tx1"/>
            </w14:solidFill>
          </w14:textFill>
        </w:rPr>
        <w:t>。</w:t>
      </w:r>
    </w:p>
    <w:p w14:paraId="23964467">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.公告媒体</w:t>
      </w:r>
    </w:p>
    <w:p w14:paraId="30A12DF4">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（1）本公告在</w:t>
      </w:r>
      <w:r>
        <w:rPr>
          <w:rFonts w:hint="eastAsia"/>
          <w:color w:val="000000" w:themeColor="text1"/>
          <w:highlight w:val="none"/>
          <w:lang w:val="en-US" w:eastAsia="zh-CN"/>
          <w14:textFill>
            <w14:solidFill>
              <w14:schemeClr w14:val="tx1"/>
            </w14:solidFill>
          </w14:textFill>
        </w:rPr>
        <w:t>江苏政府采购网</w:t>
      </w:r>
      <w:r>
        <w:rPr>
          <w:rFonts w:hint="eastAsia"/>
          <w:color w:val="000000" w:themeColor="text1"/>
          <w:highlight w:val="none"/>
          <w14:textFill>
            <w14:solidFill>
              <w14:schemeClr w14:val="tx1"/>
            </w14:solidFill>
          </w14:textFill>
        </w:rPr>
        <w:t>（http://www.ccgp-jiangsu.gov.cn/）发布，敬请各投标人关注；</w:t>
      </w:r>
    </w:p>
    <w:p w14:paraId="012C9A91">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（2）若有关本次采购存在变动或修改，敬请各投标人及时关注</w:t>
      </w:r>
      <w:r>
        <w:rPr>
          <w:rFonts w:hint="eastAsia"/>
          <w:color w:val="000000" w:themeColor="text1"/>
          <w:highlight w:val="none"/>
          <w:lang w:val="en-US" w:eastAsia="zh-CN"/>
          <w14:textFill>
            <w14:solidFill>
              <w14:schemeClr w14:val="tx1"/>
            </w14:solidFill>
          </w14:textFill>
        </w:rPr>
        <w:t>江苏政府采购网</w:t>
      </w:r>
      <w:r>
        <w:rPr>
          <w:rFonts w:hint="eastAsia"/>
          <w:color w:val="000000" w:themeColor="text1"/>
          <w:highlight w:val="none"/>
          <w14:textFill>
            <w14:solidFill>
              <w14:schemeClr w14:val="tx1"/>
            </w14:solidFill>
          </w14:textFill>
        </w:rPr>
        <w:t>（http://www.ccgp-jiangsu.gov.cn/）发布的关于本项目的信息更正公告。</w:t>
      </w:r>
    </w:p>
    <w:p w14:paraId="1ABB4384">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.采购项目需要落实的政府采购政策：本项目执行《政府采购促进中小企业发展管理办法》《关于政府采购支持监狱企业发展有关问题的通知》《关于促进残疾人就业政府采购政策的通知》等政府采购文件。</w:t>
      </w:r>
    </w:p>
    <w:p w14:paraId="73E733BE">
      <w:pPr>
        <w:pStyle w:val="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七、对本次招标提出询问，请按以下方式联系。</w:t>
      </w:r>
    </w:p>
    <w:p w14:paraId="1A28C33E">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1.采购人信息</w:t>
      </w:r>
    </w:p>
    <w:p w14:paraId="6B660FD7">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名称：</w:t>
      </w:r>
      <w:r>
        <w:rPr>
          <w:rFonts w:hint="eastAsia"/>
          <w:color w:val="000000" w:themeColor="text1"/>
          <w:highlight w:val="none"/>
          <w:lang w:eastAsia="zh-CN"/>
          <w14:textFill>
            <w14:solidFill>
              <w14:schemeClr w14:val="tx1"/>
            </w14:solidFill>
          </w14:textFill>
        </w:rPr>
        <w:t>南京师范大学</w:t>
      </w:r>
    </w:p>
    <w:p w14:paraId="3E01F797">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地址：南京市仙林大学城文苑路1号</w:t>
      </w:r>
    </w:p>
    <w:p w14:paraId="7C4A1095">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联系方式：</w:t>
      </w:r>
      <w:r>
        <w:rPr>
          <w:rFonts w:hint="eastAsia"/>
          <w:color w:val="000000" w:themeColor="text1"/>
          <w:highlight w:val="none"/>
          <w:lang w:val="en-US" w:eastAsia="zh-CN"/>
          <w14:textFill>
            <w14:solidFill>
              <w14:schemeClr w14:val="tx1"/>
            </w14:solidFill>
          </w14:textFill>
        </w:rPr>
        <w:t>董老师025-83598970</w:t>
      </w:r>
    </w:p>
    <w:p w14:paraId="31634889">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2.采购代理机构信息</w:t>
      </w:r>
    </w:p>
    <w:p w14:paraId="4157BFCA">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名称：南京苏宁工程咨询有限公司</w:t>
      </w:r>
    </w:p>
    <w:p w14:paraId="4586BE5D">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地址：南京市鼓楼区中山路99号12楼1212室</w:t>
      </w:r>
    </w:p>
    <w:p w14:paraId="44E1A227">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联系方式：张薇025-84207240、025-83616261</w:t>
      </w:r>
    </w:p>
    <w:p w14:paraId="3EBD7C3E">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3.项目联系方式</w:t>
      </w:r>
    </w:p>
    <w:p w14:paraId="21A07D1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项目联系人：张薇</w:t>
      </w:r>
    </w:p>
    <w:p w14:paraId="387DB46F">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电话：025-84207240、025-83616261</w:t>
      </w:r>
    </w:p>
    <w:p w14:paraId="3CB7EE37">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p>
    <w:p w14:paraId="243ACDB0">
      <w:pPr>
        <w:pStyle w:val="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第二章  投标人须知</w:t>
      </w:r>
    </w:p>
    <w:p w14:paraId="55685760">
      <w:pPr>
        <w:pStyle w:val="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一、总则</w:t>
      </w:r>
    </w:p>
    <w:p w14:paraId="1D9202B4">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1.适用法律</w:t>
      </w:r>
    </w:p>
    <w:p w14:paraId="2C404597">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1.1 《中华人民共和国政府采购法》《中华人民共和国政府采购法实施条例》等有关法律、规章和规定等。</w:t>
      </w:r>
    </w:p>
    <w:p w14:paraId="0367906F">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2.定义</w:t>
      </w:r>
    </w:p>
    <w:p w14:paraId="08EC2EC1">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2.1“采购人”是指</w:t>
      </w:r>
      <w:r>
        <w:rPr>
          <w:rFonts w:hint="eastAsia"/>
          <w:color w:val="000000" w:themeColor="text1"/>
          <w:highlight w:val="none"/>
          <w:lang w:eastAsia="zh-CN"/>
          <w14:textFill>
            <w14:solidFill>
              <w14:schemeClr w14:val="tx1"/>
            </w14:solidFill>
          </w14:textFill>
        </w:rPr>
        <w:t>南京师范大学</w:t>
      </w:r>
    </w:p>
    <w:p w14:paraId="66E68DAF">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2.2“采购代理机构”是指南京苏宁工程咨询有限公司</w:t>
      </w:r>
    </w:p>
    <w:p w14:paraId="54F7AA1C">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2.3“供应商”</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是指向采购人提供货物、工程或者服务的法人、其他组织或者自然人。</w:t>
      </w:r>
    </w:p>
    <w:p w14:paraId="1A6C7E4A">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“货物”是指各种形态和种类的物品，包括原材料、燃料、设备、产品等。</w:t>
      </w:r>
    </w:p>
    <w:p w14:paraId="5A404E83">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2.5</w:t>
      </w:r>
      <w:r>
        <w:rPr>
          <w:rFonts w:hint="eastAsia"/>
          <w:color w:val="000000" w:themeColor="text1"/>
          <w:highlight w:val="none"/>
          <w14:textFill>
            <w14:solidFill>
              <w14:schemeClr w14:val="tx1"/>
            </w14:solidFill>
          </w14:textFill>
        </w:rPr>
        <w:t>“工程”是指建设工程，包括建筑物和构筑物的新建、改建、扩建、装修、拆除、修缮等。</w:t>
      </w:r>
    </w:p>
    <w:p w14:paraId="06EED2B4">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2.6</w:t>
      </w:r>
      <w:r>
        <w:rPr>
          <w:rFonts w:hint="eastAsia"/>
          <w:color w:val="000000" w:themeColor="text1"/>
          <w:highlight w:val="none"/>
          <w14:textFill>
            <w14:solidFill>
              <w14:schemeClr w14:val="tx1"/>
            </w14:solidFill>
          </w14:textFill>
        </w:rPr>
        <w:t>“服务”是指除货物和工程以外的其他政府采购对象。</w:t>
      </w:r>
    </w:p>
    <w:p w14:paraId="091CA9AE">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3.政策功能</w:t>
      </w:r>
    </w:p>
    <w:p w14:paraId="53869881">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3.1 政府采购促进中小企业发展，在政府采购活动中，投标人提供的货物、工程或者服务，符合下列情形的，享受中小企业扶持政策：</w:t>
      </w:r>
    </w:p>
    <w:p w14:paraId="16EF2C2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（1）在货物采购项目中，货物由中小企业制造，即货物由中小企业生产且使用该中小企业商号或者注册商标；</w:t>
      </w:r>
    </w:p>
    <w:p w14:paraId="047ECF7E">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（2）在工程采购项目中，工程由中小企业承建，即工程施工单位为中小企业；</w:t>
      </w:r>
    </w:p>
    <w:p w14:paraId="33125AB5">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5BCB9F3D">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在货物采购项目中，投标人提供的货物既有中小企业制造货物，也有大型企业制造货物的，不享受中小企业扶持政策。</w:t>
      </w:r>
    </w:p>
    <w:p w14:paraId="37148515">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p>
    <w:p w14:paraId="60C3A0EA">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6A206FB9">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p>
    <w:p w14:paraId="12F671CD">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p>
    <w:p w14:paraId="1F328570">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3.4 未按要求提供相关材料的，不享受相关政策。</w:t>
      </w:r>
    </w:p>
    <w:p w14:paraId="4B3CD8F8">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4.招标文件的约束力</w:t>
      </w:r>
    </w:p>
    <w:p w14:paraId="0780593F">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4.1 投标人一旦参加本项目采购活动，即被认为接受了本招标文件的规定和约束。</w:t>
      </w:r>
    </w:p>
    <w:p w14:paraId="76E6F1D0">
      <w:pPr>
        <w:pStyle w:val="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二、招标文件</w:t>
      </w:r>
    </w:p>
    <w:p w14:paraId="57292D99">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5.招标文件组成</w:t>
      </w:r>
    </w:p>
    <w:p w14:paraId="1F8D881F">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5.1 招标文件组成：投标邀请、投标人须知、评标方法与评标标准、采购需求、合同主要条款及格式、投标文件格式及附件等。</w:t>
      </w:r>
    </w:p>
    <w:p w14:paraId="1B7AE59E">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5.2 招标的最小单位是</w:t>
      </w:r>
      <w:r>
        <w:rPr>
          <w:rFonts w:hint="eastAsia"/>
          <w:color w:val="000000" w:themeColor="text1"/>
          <w:highlight w:val="none"/>
          <w:lang w:val="en-US" w:eastAsia="zh-CN"/>
          <w14:textFill>
            <w14:solidFill>
              <w14:schemeClr w14:val="tx1"/>
            </w14:solidFill>
          </w14:textFill>
        </w:rPr>
        <w:t>采购</w:t>
      </w:r>
      <w:r>
        <w:rPr>
          <w:rFonts w:hint="eastAsia"/>
          <w:color w:val="000000" w:themeColor="text1"/>
          <w:highlight w:val="none"/>
          <w14:textFill>
            <w14:solidFill>
              <w14:schemeClr w14:val="tx1"/>
            </w14:solidFill>
          </w14:textFill>
        </w:rPr>
        <w:t>包。招标</w:t>
      </w:r>
      <w:r>
        <w:rPr>
          <w:rFonts w:hint="eastAsia"/>
          <w:color w:val="000000" w:themeColor="text1"/>
          <w:highlight w:val="none"/>
          <w:lang w:eastAsia="zh-CN"/>
          <w14:textFill>
            <w14:solidFill>
              <w14:schemeClr w14:val="tx1"/>
            </w14:solidFill>
          </w14:textFill>
        </w:rPr>
        <w:t>工程</w:t>
      </w:r>
      <w:r>
        <w:rPr>
          <w:rFonts w:hint="eastAsia"/>
          <w:color w:val="000000" w:themeColor="text1"/>
          <w:highlight w:val="none"/>
          <w14:textFill>
            <w14:solidFill>
              <w14:schemeClr w14:val="tx1"/>
            </w14:solidFill>
          </w14:textFill>
        </w:rPr>
        <w:t>数量及技术要求中未</w:t>
      </w:r>
      <w:r>
        <w:rPr>
          <w:rFonts w:hint="eastAsia"/>
          <w:color w:val="000000" w:themeColor="text1"/>
          <w:highlight w:val="none"/>
          <w:lang w:val="en-US" w:eastAsia="zh-CN"/>
          <w14:textFill>
            <w14:solidFill>
              <w14:schemeClr w14:val="tx1"/>
            </w14:solidFill>
          </w14:textFill>
        </w:rPr>
        <w:t>划分采购</w:t>
      </w:r>
      <w:r>
        <w:rPr>
          <w:rFonts w:hint="eastAsia"/>
          <w:color w:val="000000" w:themeColor="text1"/>
          <w:highlight w:val="none"/>
          <w14:textFill>
            <w14:solidFill>
              <w14:schemeClr w14:val="tx1"/>
            </w14:solidFill>
          </w14:textFill>
        </w:rPr>
        <w:t>包的，投标人对要求提供的</w:t>
      </w:r>
      <w:r>
        <w:rPr>
          <w:rFonts w:hint="eastAsia"/>
          <w:color w:val="000000" w:themeColor="text1"/>
          <w:highlight w:val="none"/>
          <w:lang w:eastAsia="zh-CN"/>
          <w14:textFill>
            <w14:solidFill>
              <w14:schemeClr w14:val="tx1"/>
            </w14:solidFill>
          </w14:textFill>
        </w:rPr>
        <w:t>工程</w:t>
      </w:r>
      <w:r>
        <w:rPr>
          <w:rFonts w:hint="eastAsia"/>
          <w:color w:val="000000" w:themeColor="text1"/>
          <w:highlight w:val="none"/>
          <w14:textFill>
            <w14:solidFill>
              <w14:schemeClr w14:val="tx1"/>
            </w14:solidFill>
          </w14:textFill>
        </w:rPr>
        <w:t>不得部分投标；招标</w:t>
      </w:r>
      <w:r>
        <w:rPr>
          <w:rFonts w:hint="eastAsia"/>
          <w:color w:val="000000" w:themeColor="text1"/>
          <w:highlight w:val="none"/>
          <w:lang w:eastAsia="zh-CN"/>
          <w14:textFill>
            <w14:solidFill>
              <w14:schemeClr w14:val="tx1"/>
            </w14:solidFill>
          </w14:textFill>
        </w:rPr>
        <w:t>工程</w:t>
      </w:r>
      <w:r>
        <w:rPr>
          <w:rFonts w:hint="eastAsia"/>
          <w:color w:val="000000" w:themeColor="text1"/>
          <w:highlight w:val="none"/>
          <w14:textFill>
            <w14:solidFill>
              <w14:schemeClr w14:val="tx1"/>
            </w14:solidFill>
          </w14:textFill>
        </w:rPr>
        <w:t>数量及技术要求中已经分包的，应当以</w:t>
      </w:r>
      <w:r>
        <w:rPr>
          <w:rFonts w:hint="eastAsia"/>
          <w:color w:val="000000" w:themeColor="text1"/>
          <w:highlight w:val="none"/>
          <w:lang w:val="en-US" w:eastAsia="zh-CN"/>
          <w14:textFill>
            <w14:solidFill>
              <w14:schemeClr w14:val="tx1"/>
            </w14:solidFill>
          </w14:textFill>
        </w:rPr>
        <w:t>采购</w:t>
      </w:r>
      <w:r>
        <w:rPr>
          <w:rFonts w:hint="eastAsia"/>
          <w:color w:val="000000" w:themeColor="text1"/>
          <w:highlight w:val="none"/>
          <w14:textFill>
            <w14:solidFill>
              <w14:schemeClr w14:val="tx1"/>
            </w14:solidFill>
          </w14:textFill>
        </w:rPr>
        <w:t>包为单位投标。</w:t>
      </w:r>
    </w:p>
    <w:p w14:paraId="58619BE8">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5.3 招标文件如果要求投标人提交备选投标方案的，投标人可以提交备选方案，否则，不接受备选方案。</w:t>
      </w:r>
    </w:p>
    <w:p w14:paraId="5C73D096">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6.招标文件的澄清修改</w:t>
      </w:r>
    </w:p>
    <w:p w14:paraId="5E57DF3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6.1 代理机构对已发出的招标文件进行必要澄清或者修改的，将在招标文件要求提交投标文件截止时间十五日前，在原招标公告媒体发布更正公告，该澄清或者修改的内容为招标文件的组成部分。</w:t>
      </w:r>
    </w:p>
    <w:p w14:paraId="7AF7E5EF">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6.2 代理机构在招标文件要求提交投标文件截止时间前，有权决定延长投标截止时间和开标时间，并在原采购信息发布媒体上发布变更公告。</w:t>
      </w:r>
    </w:p>
    <w:p w14:paraId="546E6722">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6.3 投标人应在投标截止时间前关注原采购信息发布媒体上有关本招标项目有无</w:t>
      </w:r>
      <w:r>
        <w:rPr>
          <w:rFonts w:hint="eastAsia"/>
          <w:color w:val="000000" w:themeColor="text1"/>
          <w:highlight w:val="none"/>
          <w:lang w:val="en-US" w:eastAsia="zh-CN"/>
          <w14:textFill>
            <w14:solidFill>
              <w14:schemeClr w14:val="tx1"/>
            </w14:solidFill>
          </w14:textFill>
        </w:rPr>
        <w:t>更正</w:t>
      </w:r>
      <w:r>
        <w:rPr>
          <w:rFonts w:hint="eastAsia"/>
          <w:color w:val="000000" w:themeColor="text1"/>
          <w:highlight w:val="none"/>
          <w14:textFill>
            <w14:solidFill>
              <w14:schemeClr w14:val="tx1"/>
            </w14:solidFill>
          </w14:textFill>
        </w:rPr>
        <w:t>公告。</w:t>
      </w:r>
    </w:p>
    <w:p w14:paraId="763FDE67">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三、投标</w:t>
      </w:r>
    </w:p>
    <w:p w14:paraId="5539FE75">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7.投标文件的语言、计量单位、货币、技术标准和编制</w:t>
      </w:r>
    </w:p>
    <w:p w14:paraId="729293C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p>
    <w:p w14:paraId="6A13E82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7.2 投标人所使用的计量单位应为国家法定计量单位。</w:t>
      </w:r>
    </w:p>
    <w:p w14:paraId="355F558D">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7.3 投标人应用人民币报价。</w:t>
      </w:r>
    </w:p>
    <w:p w14:paraId="17540D28">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7.4 投标文件应字迹清楚、内容齐全、不得涂改。如有修改，修改处须有法定代表人签字或盖章</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或授权委托人签字或加盖投标人公章。</w:t>
      </w:r>
    </w:p>
    <w:p w14:paraId="37835001">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7.5 如标书制作工具中格式和内容与“江苏政府采购网”发布的招标文件不一致，以“江苏政府采购网”发布的招标文件为准。</w:t>
      </w:r>
    </w:p>
    <w:p w14:paraId="078F3031">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7.6 投标人应在投标文件中写清相应的项目编号、项目名称、投标人全称、地址、电话、传真等。</w:t>
      </w:r>
    </w:p>
    <w:p w14:paraId="2423E7C4">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w:t>
      </w:r>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 xml:space="preserve"> 投标人所使用的技术标准应遵循国家最新标准及规范。</w:t>
      </w:r>
    </w:p>
    <w:p w14:paraId="4CB7B8CB">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8.联合体及分包：本项目不接受联合体投标，不接受分包、转包。</w:t>
      </w:r>
    </w:p>
    <w:p w14:paraId="18566C34">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8.1 采购项目如接受联合体投标的，两个以上的自然人、法人或者其他组织可以组成一个联合体，以一个投标人的身份共同参加投标。</w:t>
      </w:r>
    </w:p>
    <w:p w14:paraId="0A2020C3">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p>
    <w:p w14:paraId="157CE419">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8.3 政府采购合同分包履行的，中标人就采购项目和分包项目向采购人负责，分包项目投标人就分包项目承担责任，中标人与分包投标人之间应该签订分包意向协议。</w:t>
      </w:r>
    </w:p>
    <w:p w14:paraId="5EC4BDBF">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8.4 享受中小企业扶持政策获得政府采购合同的，小微企业不得将合同分包给大中型企业，中型企业不得将合同分包给大型企业。</w:t>
      </w:r>
    </w:p>
    <w:p w14:paraId="27691307">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p>
    <w:p w14:paraId="5F5709B9">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9.投标费用</w:t>
      </w:r>
    </w:p>
    <w:p w14:paraId="462E512D">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9.1 投标人应承担所有与准备和参加投标有关的费用，无论采购结果如何，代理机构和采购人在任何情况下均无义务和责任承担这些费用。</w:t>
      </w:r>
    </w:p>
    <w:p w14:paraId="5595066A">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9.2 招标代理服务费：本次招标，中标人按《招标代理服务费管理暂行办法》（国家发展计划委员会计价格〔2002〕1980号）代理服务招标收费标准60%计算，单个项目按照以上标准计算低于4000元时，按照保底代理费4000元/项目向招标代理机构支付招标服务费。该项费用请供应商综合考虑在投标报价中</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无须在报价表中单列此费用）</w:t>
      </w:r>
      <w:r>
        <w:rPr>
          <w:rFonts w:hint="eastAsia"/>
          <w:color w:val="000000" w:themeColor="text1"/>
          <w:highlight w:val="none"/>
          <w14:textFill>
            <w14:solidFill>
              <w14:schemeClr w14:val="tx1"/>
            </w14:solidFill>
          </w14:textFill>
        </w:rPr>
        <w:t>，后期采购人不单独列支，必须在领取中标通知书前向招标代理机构支付招标服务费。</w:t>
      </w:r>
    </w:p>
    <w:p w14:paraId="6BC4F827">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10.投标文件组成</w:t>
      </w:r>
    </w:p>
    <w:p w14:paraId="04E469D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10.1 投标人应当根据招标文件要求编制投标文件，投标文件应对招标文件提出的要求和条件作出实质性响应，并在《商务条款偏离表》和《技术条款偏离表》《资格性和符合性检查响应对照表》等处逐条标明满足与否。</w:t>
      </w:r>
    </w:p>
    <w:p w14:paraId="1417F3A4">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p>
    <w:p w14:paraId="4704AD93">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 xml:space="preserve"> 投标文件由商务部分、技术部分、价格部分，以及其他部分组成</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格式见第六章</w:t>
      </w:r>
      <w:r>
        <w:rPr>
          <w:rFonts w:hint="eastAsia"/>
          <w:color w:val="000000" w:themeColor="text1"/>
          <w:highlight w:val="none"/>
          <w14:textFill>
            <w14:solidFill>
              <w14:schemeClr w14:val="tx1"/>
            </w14:solidFill>
          </w14:textFill>
        </w:rPr>
        <w:t>。</w:t>
      </w:r>
    </w:p>
    <w:p w14:paraId="5807CA8E">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11.投标文件的商务部分</w:t>
      </w:r>
    </w:p>
    <w:p w14:paraId="126EECD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11.1 商务部分是证明投标人有资格参加投标和中标后有能力履行合同的文件，这些文件应能满足招标的要求，包括但不限于下列文件，其中加“★”项目不得有缺失或无效：</w:t>
      </w:r>
    </w:p>
    <w:p w14:paraId="7EBCF972">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（1）★投标</w:t>
      </w:r>
      <w:r>
        <w:rPr>
          <w:rFonts w:hint="eastAsia"/>
          <w:color w:val="000000" w:themeColor="text1"/>
          <w:highlight w:val="none"/>
          <w:lang w:val="en-US" w:eastAsia="zh-CN"/>
          <w14:textFill>
            <w14:solidFill>
              <w14:schemeClr w14:val="tx1"/>
            </w14:solidFill>
          </w14:textFill>
        </w:rPr>
        <w:t>函</w:t>
      </w:r>
      <w:r>
        <w:rPr>
          <w:rFonts w:hint="eastAsia"/>
          <w:color w:val="000000" w:themeColor="text1"/>
          <w:highlight w:val="none"/>
          <w14:textFill>
            <w14:solidFill>
              <w14:schemeClr w14:val="tx1"/>
            </w14:solidFill>
          </w14:textFill>
        </w:rPr>
        <w:t>；</w:t>
      </w:r>
    </w:p>
    <w:p w14:paraId="6B749477">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（2）★法定代表人授权委托书、授权委托人的身份证复印件及投标人或分支机构为其缴纳的社保证明（有授权委托的），或法定代表人身份证复印件（无授权委托的）；</w:t>
      </w:r>
    </w:p>
    <w:p w14:paraId="115645B1">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（3）★第一章投标邀请中“二、申请人的资格要求”规定的证明文件；</w:t>
      </w:r>
    </w:p>
    <w:p w14:paraId="026EE709">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（4）《商务条款偏离表》；</w:t>
      </w:r>
    </w:p>
    <w:p w14:paraId="3EBA2FAE">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（5）投标人认为需要提供的其他资格证明文件和商务资料。</w:t>
      </w:r>
    </w:p>
    <w:p w14:paraId="02E715F3">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12.投标文件的技术部分</w:t>
      </w:r>
    </w:p>
    <w:p w14:paraId="0F9863F7">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12.1 技术部分是证明投标人提供的</w:t>
      </w:r>
      <w:r>
        <w:rPr>
          <w:rFonts w:hint="eastAsia"/>
          <w:color w:val="000000" w:themeColor="text1"/>
          <w:highlight w:val="none"/>
          <w:lang w:eastAsia="zh-CN"/>
          <w14:textFill>
            <w14:solidFill>
              <w14:schemeClr w14:val="tx1"/>
            </w14:solidFill>
          </w14:textFill>
        </w:rPr>
        <w:t>工程</w:t>
      </w:r>
      <w:r>
        <w:rPr>
          <w:rFonts w:hint="eastAsia"/>
          <w:color w:val="000000" w:themeColor="text1"/>
          <w:highlight w:val="none"/>
          <w14:textFill>
            <w14:solidFill>
              <w14:schemeClr w14:val="tx1"/>
            </w14:solidFill>
          </w14:textFill>
        </w:rPr>
        <w:t>是合格的、并符合招标文件要求的证明文件，以及对</w:t>
      </w:r>
      <w:r>
        <w:rPr>
          <w:rFonts w:hint="eastAsia"/>
          <w:color w:val="000000" w:themeColor="text1"/>
          <w:highlight w:val="none"/>
          <w:lang w:val="en-US" w:eastAsia="zh-CN"/>
          <w14:textFill>
            <w14:solidFill>
              <w14:schemeClr w14:val="tx1"/>
            </w14:solidFill>
          </w14:textFill>
        </w:rPr>
        <w:t>提供</w:t>
      </w:r>
      <w:r>
        <w:rPr>
          <w:rFonts w:hint="eastAsia"/>
          <w:color w:val="000000" w:themeColor="text1"/>
          <w:highlight w:val="none"/>
          <w14:textFill>
            <w14:solidFill>
              <w14:schemeClr w14:val="tx1"/>
            </w14:solidFill>
          </w14:textFill>
        </w:rPr>
        <w:t>的</w:t>
      </w:r>
      <w:r>
        <w:rPr>
          <w:rFonts w:hint="eastAsia"/>
          <w:color w:val="000000" w:themeColor="text1"/>
          <w:highlight w:val="none"/>
          <w:lang w:eastAsia="zh-CN"/>
          <w14:textFill>
            <w14:solidFill>
              <w14:schemeClr w14:val="tx1"/>
            </w14:solidFill>
          </w14:textFill>
        </w:rPr>
        <w:t>工程</w:t>
      </w:r>
      <w:r>
        <w:rPr>
          <w:rFonts w:hint="eastAsia"/>
          <w:color w:val="000000" w:themeColor="text1"/>
          <w:highlight w:val="none"/>
          <w14:textFill>
            <w14:solidFill>
              <w14:schemeClr w14:val="tx1"/>
            </w14:solidFill>
          </w14:textFill>
        </w:rPr>
        <w:t>的详细说明，这些文件可以是文字资料、图纸和数据等。</w:t>
      </w:r>
    </w:p>
    <w:p w14:paraId="0748B42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12.2 若技术性能无特殊说明，则按国家有关部门最新颁布的标准及规范为准。</w:t>
      </w:r>
    </w:p>
    <w:p w14:paraId="7D1B622D">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12.3 提供的</w:t>
      </w:r>
      <w:r>
        <w:rPr>
          <w:rFonts w:hint="eastAsia"/>
          <w:color w:val="000000" w:themeColor="text1"/>
          <w:highlight w:val="none"/>
          <w:lang w:eastAsia="zh-CN"/>
          <w14:textFill>
            <w14:solidFill>
              <w14:schemeClr w14:val="tx1"/>
            </w14:solidFill>
          </w14:textFill>
        </w:rPr>
        <w:t>工程</w:t>
      </w:r>
      <w:r>
        <w:rPr>
          <w:rFonts w:hint="eastAsia"/>
          <w:color w:val="000000" w:themeColor="text1"/>
          <w:highlight w:val="none"/>
          <w14:textFill>
            <w14:solidFill>
              <w14:schemeClr w14:val="tx1"/>
            </w14:solidFill>
          </w14:textFill>
        </w:rPr>
        <w:t>的技术指标如与招标文件要求有不符之处，应说明其差别之所在，并在《技术条款偏离表》中逐条予以说明。</w:t>
      </w:r>
    </w:p>
    <w:p w14:paraId="468AFE2A">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13.投标文件的价格部分</w:t>
      </w:r>
    </w:p>
    <w:p w14:paraId="053A633C">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13</w:t>
      </w:r>
      <w:r>
        <w:rPr>
          <w:rFonts w:hint="eastAsia"/>
          <w:color w:val="000000" w:themeColor="text1"/>
          <w:highlight w:val="none"/>
          <w14:textFill>
            <w14:solidFill>
              <w14:schemeClr w14:val="tx1"/>
            </w14:solidFill>
          </w14:textFill>
        </w:rPr>
        <w:t>.1所有投标均以人民币报价，应包括国家规定的税金。</w:t>
      </w:r>
    </w:p>
    <w:p w14:paraId="40F38006">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13</w:t>
      </w:r>
      <w:r>
        <w:rPr>
          <w:rFonts w:hint="eastAsia"/>
          <w:color w:val="000000" w:themeColor="text1"/>
          <w:highlight w:val="none"/>
          <w14:textFill>
            <w14:solidFill>
              <w14:schemeClr w14:val="tx1"/>
            </w14:solidFill>
          </w14:textFill>
        </w:rPr>
        <w:t>.2投标文件的价格部分是对采购标的价格构成的说明，招标文件如无特别说明，每项货物、服务或工程等只允许有一个报价，任何有选择的报价将不予接受，将作为无效投标处理。</w:t>
      </w:r>
    </w:p>
    <w:p w14:paraId="6FA3F919">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13</w:t>
      </w:r>
      <w:r>
        <w:rPr>
          <w:rFonts w:hint="eastAsia"/>
          <w:color w:val="000000" w:themeColor="text1"/>
          <w:highlight w:val="none"/>
          <w14:textFill>
            <w14:solidFill>
              <w14:schemeClr w14:val="tx1"/>
            </w14:solidFill>
          </w14:textFill>
        </w:rPr>
        <w:t>.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p>
    <w:p w14:paraId="7B41E8F9">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13</w:t>
      </w:r>
      <w:r>
        <w:rPr>
          <w:rFonts w:hint="eastAsia"/>
          <w:color w:val="000000" w:themeColor="text1"/>
          <w:highlight w:val="none"/>
          <w14:textFill>
            <w14:solidFill>
              <w14:schemeClr w14:val="tx1"/>
            </w14:solidFill>
          </w14:textFill>
        </w:rPr>
        <w:t>.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p>
    <w:p w14:paraId="0DBAE2C9">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14.投标文件的其他部分</w:t>
      </w:r>
    </w:p>
    <w:p w14:paraId="45E04762">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14.1 投标人编制投标文件需要提供的其他相关文件。</w:t>
      </w:r>
    </w:p>
    <w:p w14:paraId="6BD26ADC">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15.投标保证金</w:t>
      </w:r>
      <w:r>
        <w:rPr>
          <w:rFonts w:hint="eastAsia"/>
          <w:b/>
          <w:bCs/>
          <w:color w:val="000000" w:themeColor="text1"/>
          <w:highlight w:val="none"/>
          <w:lang w:eastAsia="zh-CN"/>
          <w14:textFill>
            <w14:solidFill>
              <w14:schemeClr w14:val="tx1"/>
            </w14:solidFill>
          </w14:textFill>
        </w:rPr>
        <w:t>：</w:t>
      </w:r>
      <w:r>
        <w:rPr>
          <w:rFonts w:hint="eastAsia"/>
          <w:b/>
          <w:bCs/>
          <w:color w:val="000000" w:themeColor="text1"/>
          <w:highlight w:val="none"/>
          <w:lang w:val="en-US" w:eastAsia="zh-CN"/>
          <w14:textFill>
            <w14:solidFill>
              <w14:schemeClr w14:val="tx1"/>
            </w14:solidFill>
          </w14:textFill>
        </w:rPr>
        <w:t>无</w:t>
      </w:r>
    </w:p>
    <w:p w14:paraId="01FFEF9B">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16.投标有效期</w:t>
      </w:r>
    </w:p>
    <w:p w14:paraId="75FFB91A">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16.1 自开标之日起</w:t>
      </w:r>
      <w:r>
        <w:rPr>
          <w:rFonts w:hint="eastAsia"/>
          <w:color w:val="000000" w:themeColor="text1"/>
          <w:highlight w:val="none"/>
          <w:u w:val="single"/>
          <w14:textFill>
            <w14:solidFill>
              <w14:schemeClr w14:val="tx1"/>
            </w14:solidFill>
          </w14:textFill>
        </w:rPr>
        <w:t>九十日</w:t>
      </w:r>
      <w:r>
        <w:rPr>
          <w:rFonts w:hint="eastAsia"/>
          <w:color w:val="000000" w:themeColor="text1"/>
          <w:highlight w:val="none"/>
          <w14:textFill>
            <w14:solidFill>
              <w14:schemeClr w14:val="tx1"/>
            </w14:solidFill>
          </w14:textFill>
        </w:rPr>
        <w:t>内投标有效。</w:t>
      </w:r>
      <w:r>
        <w:rPr>
          <w:rFonts w:hint="eastAsia"/>
          <w:b/>
          <w:bCs/>
          <w:color w:val="000000" w:themeColor="text1"/>
          <w:highlight w:val="none"/>
          <w:lang w:val="en-US" w:eastAsia="zh-CN"/>
          <w14:textFill>
            <w14:solidFill>
              <w14:schemeClr w14:val="tx1"/>
            </w14:solidFill>
          </w14:textFill>
        </w:rPr>
        <w:t>投标有效期未达到规定期限的，按无效投标处理。</w:t>
      </w:r>
    </w:p>
    <w:p w14:paraId="6EF0FD99">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16.2 特殊情况下，在原投标有效期截止之前，代理机构可要求投标人同意延长投标有效期，这种要求与答复均以书面形式提交。投标人可以拒绝这种要求，但接受延长投标有效期的投标人将不会要求和允许修正其投标。</w:t>
      </w:r>
    </w:p>
    <w:p w14:paraId="6AE3B8B3">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17.投标文件的签署</w:t>
      </w:r>
    </w:p>
    <w:p w14:paraId="64674E11">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17.1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投标文件须经法定代表人或经正式授权并对投标人有约束力的授权委托人签字</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可采用电子签名</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和加盖投标人</w:t>
      </w:r>
      <w:r>
        <w:rPr>
          <w:rFonts w:hint="eastAsia"/>
          <w:color w:val="000000" w:themeColor="text1"/>
          <w:highlight w:val="none"/>
          <w:lang w:val="en-US" w:eastAsia="zh-CN"/>
          <w14:textFill>
            <w14:solidFill>
              <w14:schemeClr w14:val="tx1"/>
            </w14:solidFill>
          </w14:textFill>
        </w:rPr>
        <w:t>电子</w:t>
      </w:r>
      <w:r>
        <w:rPr>
          <w:rFonts w:hint="eastAsia"/>
          <w:color w:val="000000" w:themeColor="text1"/>
          <w:highlight w:val="none"/>
          <w14:textFill>
            <w14:solidFill>
              <w14:schemeClr w14:val="tx1"/>
            </w14:solidFill>
          </w14:textFill>
        </w:rPr>
        <w:t>公章。本招标文件所表述（指定）的公章是指法定名称章，不包括合同专用章、业务专用章等印章。</w:t>
      </w:r>
    </w:p>
    <w:p w14:paraId="3307F93F">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18.投标文件的递交</w:t>
      </w:r>
    </w:p>
    <w:p w14:paraId="3E0F4919">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8</w:t>
      </w:r>
      <w:r>
        <w:rPr>
          <w:rFonts w:hint="eastAsia"/>
          <w:color w:val="000000" w:themeColor="text1"/>
          <w:highlight w:val="none"/>
          <w14:textFill>
            <w14:solidFill>
              <w14:schemeClr w14:val="tx1"/>
            </w14:solidFill>
          </w14:textFill>
        </w:rPr>
        <w:t>.1 投标人应当按照《操作手册》规定，在招标公告规定的投标截止时间前制作并上传电子投标文件。</w:t>
      </w:r>
    </w:p>
    <w:p w14:paraId="47C1DC4F">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8</w:t>
      </w:r>
      <w:r>
        <w:rPr>
          <w:rFonts w:hint="eastAsia"/>
          <w:color w:val="000000" w:themeColor="text1"/>
          <w:highlight w:val="none"/>
          <w14:textFill>
            <w14:solidFill>
              <w14:schemeClr w14:val="tx1"/>
            </w14:solidFill>
          </w14:textFill>
        </w:rPr>
        <w:t>.2 投标人应充分考虑网络环境、网络带宽等因素可能对投标产生的影响，如因投标人自身原因造成的电子投标文件上传不成功的，按做无效投标处理。</w:t>
      </w:r>
    </w:p>
    <w:p w14:paraId="6496807F">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19.有下列情形之一的投标文件将被拒收</w:t>
      </w:r>
    </w:p>
    <w:p w14:paraId="499A0F29">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19.1 投标截止时间后上传的任何投标文件将被拒绝。</w:t>
      </w:r>
    </w:p>
    <w:p w14:paraId="54B04876">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20.投标文件的修改和撤回</w:t>
      </w:r>
    </w:p>
    <w:p w14:paraId="3BE68ECD">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lang w:eastAsia="zh-CN"/>
          <w14:textFill>
            <w14:solidFill>
              <w14:schemeClr w14:val="tx1"/>
            </w14:solidFill>
          </w14:textFill>
        </w:rPr>
        <w:t>.1 投标文件的撤回</w:t>
      </w:r>
    </w:p>
    <w:p w14:paraId="2AEF0E0F">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lang w:eastAsia="zh-CN"/>
          <w14:textFill>
            <w14:solidFill>
              <w14:schemeClr w14:val="tx1"/>
            </w14:solidFill>
          </w14:textFill>
        </w:rPr>
        <w:t>.1.1 投标人可在投标截止时间前撤回其电子投标文件，具体操作方法见《操作手册》。</w:t>
      </w:r>
    </w:p>
    <w:p w14:paraId="04AC7967">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lang w:eastAsia="zh-CN"/>
          <w14:textFill>
            <w14:solidFill>
              <w14:schemeClr w14:val="tx1"/>
            </w14:solidFill>
          </w14:textFill>
        </w:rPr>
        <w:t>.1.2 投标人撤回电子投标文件，则认为其不再参与本项目投标活动。</w:t>
      </w:r>
    </w:p>
    <w:p w14:paraId="54E07767">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lang w:eastAsia="zh-CN"/>
          <w14:textFill>
            <w14:solidFill>
              <w14:schemeClr w14:val="tx1"/>
            </w14:solidFill>
          </w14:textFill>
        </w:rPr>
        <w:t>.2 投标文件的修改</w:t>
      </w:r>
    </w:p>
    <w:p w14:paraId="14DF140B">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lang w:eastAsia="zh-CN"/>
          <w14:textFill>
            <w14:solidFill>
              <w14:schemeClr w14:val="tx1"/>
            </w14:solidFill>
          </w14:textFill>
        </w:rPr>
        <w:t>.2.1 投标人可在投标截止时间前对其电子投标文件进行修改，具体操作方法见《操作手册》。</w:t>
      </w:r>
    </w:p>
    <w:p w14:paraId="7B5524A3">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lang w:eastAsia="zh-CN"/>
          <w14:textFill>
            <w14:solidFill>
              <w14:schemeClr w14:val="tx1"/>
            </w14:solidFill>
          </w14:textFill>
        </w:rPr>
        <w:t>.2.2 投标截止时间之后，投标人不得对其电子投标文件作任何修改。</w:t>
      </w:r>
    </w:p>
    <w:p w14:paraId="26E2D061">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lang w:eastAsia="zh-CN"/>
          <w14:textFill>
            <w14:solidFill>
              <w14:schemeClr w14:val="tx1"/>
            </w14:solidFill>
          </w14:textFill>
        </w:rPr>
        <w:t>.3 在投标截止时间至招标文件中规定的投标有效期满之间的这段时间内，投标人不得撤回其投标。</w:t>
      </w:r>
    </w:p>
    <w:p w14:paraId="621B30AE">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四、开标、评标与确定中标人</w:t>
      </w:r>
    </w:p>
    <w:p w14:paraId="396ACB8F">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21.开标</w:t>
      </w:r>
    </w:p>
    <w:p w14:paraId="063AF1F7">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 xml:space="preserve">.1 </w:t>
      </w:r>
      <w:r>
        <w:rPr>
          <w:rFonts w:hint="eastAsia"/>
          <w:color w:val="000000" w:themeColor="text1"/>
          <w:highlight w:val="none"/>
          <w:lang w:val="en-US" w:eastAsia="zh-CN"/>
          <w14:textFill>
            <w14:solidFill>
              <w14:schemeClr w14:val="tx1"/>
            </w14:solidFill>
          </w14:textFill>
        </w:rPr>
        <w:t>采购代理机构</w:t>
      </w:r>
      <w:r>
        <w:rPr>
          <w:rFonts w:hint="eastAsia"/>
          <w:color w:val="000000" w:themeColor="text1"/>
          <w:highlight w:val="none"/>
          <w14:textFill>
            <w14:solidFill>
              <w14:schemeClr w14:val="tx1"/>
            </w14:solidFill>
          </w14:textFill>
        </w:rPr>
        <w:t>在招标公告中规定的时间和地点组织公开开标。投标人按照《操作手册》规定参加开标活动，并在苏采云系统规定的时间内对投标文件进行解密。苏采云系统公布各投标人名称和投标价格。</w:t>
      </w:r>
    </w:p>
    <w:p w14:paraId="20F9EEAB">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.2 投标人在开标过程中涉及到的投标文件解密、开标结果确认等工作，应按照《操作手册》规定执行。</w:t>
      </w:r>
    </w:p>
    <w:p w14:paraId="03438B40">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.3 投标人如果对开标过程和开标结果有疑义，应当根据《操作手册》规定提出，苏采云系统中《开标记录表》公布后5分钟内未提出的，视同认可开标结果。</w:t>
      </w:r>
    </w:p>
    <w:p w14:paraId="2772CED1">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21.4 如出现投标截止时间结束后参加投标的投标人不足三家的情况，不得开标。</w:t>
      </w:r>
    </w:p>
    <w:p w14:paraId="7A504F55">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22.评标</w:t>
      </w:r>
    </w:p>
    <w:p w14:paraId="78EFF858">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22.1 评标组织</w:t>
      </w:r>
    </w:p>
    <w:p w14:paraId="7852EF8C">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22.1.1 评标工作由代理机构组织，具体评标事务由依法组建的评标委员会负责，并独立履行下列职责：</w:t>
      </w:r>
    </w:p>
    <w:p w14:paraId="0D80BDFE">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（1）审查、评价投标文件是否符合招标文件的商务、技术等实质性要求；</w:t>
      </w:r>
    </w:p>
    <w:p w14:paraId="6E6C0CEC">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（2）要求投标人对投标文件有关事项作出澄清或者说明；</w:t>
      </w:r>
    </w:p>
    <w:p w14:paraId="0CC5F8AC">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（3）对投标文件进行比较和评价；</w:t>
      </w:r>
    </w:p>
    <w:p w14:paraId="01633218">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（4）推荐中标候选人或根据采购人委托直接确定中标人；</w:t>
      </w:r>
    </w:p>
    <w:p w14:paraId="45F790A7">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（5）向采购人、采购代理机构或者有关部门报告评标中发现的违法行为。</w:t>
      </w:r>
    </w:p>
    <w:p w14:paraId="5A5A92BC">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22.1.2 评标委员会由采购人代表（如有）和有关技术、经济等方面的专家组成，独立开展评审工作。</w:t>
      </w:r>
    </w:p>
    <w:p w14:paraId="31B1620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 评标程序</w:t>
      </w:r>
    </w:p>
    <w:p w14:paraId="0A923E55">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22.2.1 投标文件的资格审查</w:t>
      </w:r>
    </w:p>
    <w:p w14:paraId="70A05DCC">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22.2.1.1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采购人代表依法对投标人的资格进行审查。</w:t>
      </w:r>
    </w:p>
    <w:p w14:paraId="7C6364A8">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22.2.1.2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采购人代表依据法律法规和招标文件的规定，对投标文件中的资格证明文件等进行审查，以确定投标人是否具备投标资格。</w:t>
      </w:r>
    </w:p>
    <w:p w14:paraId="1FD0842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22.2.1.3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color w:val="000000" w:themeColor="text1"/>
          <w:highlight w:val="none"/>
          <w:lang w:val="en-US" w:eastAsia="zh-CN"/>
          <w14:textFill>
            <w14:solidFill>
              <w14:schemeClr w14:val="tx1"/>
            </w14:solidFill>
          </w14:textFill>
        </w:rPr>
        <w:t>采购代理机构</w:t>
      </w:r>
      <w:r>
        <w:rPr>
          <w:rFonts w:hint="eastAsia"/>
          <w:color w:val="000000" w:themeColor="text1"/>
          <w:highlight w:val="none"/>
          <w14:textFill>
            <w14:solidFill>
              <w14:schemeClr w14:val="tx1"/>
            </w14:solidFill>
          </w14:textFill>
        </w:rPr>
        <w:t>将查询结果以网页打印的形式留存并归档。</w:t>
      </w:r>
    </w:p>
    <w:p w14:paraId="121BA6A3">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22.2.1.4 投标文件有下列情况之一的，在资格性审查时按照无效投标处理</w:t>
      </w:r>
    </w:p>
    <w:p w14:paraId="17636865">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（1）不具备招标文件规定资格条件的；</w:t>
      </w:r>
    </w:p>
    <w:p w14:paraId="54BE2AD0">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themeColor="text1"/>
          <w:highlight w:val="none"/>
          <w:lang w:eastAsia="zh-CN"/>
          <w14:textFill>
            <w14:solidFill>
              <w14:schemeClr w14:val="tx1"/>
            </w14:solidFill>
          </w14:textFill>
        </w:rPr>
        <w:t>。</w:t>
      </w:r>
    </w:p>
    <w:p w14:paraId="57E5F340">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 投标文件的符合性审查</w:t>
      </w:r>
    </w:p>
    <w:p w14:paraId="03D443D5">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评标委员会将依据法律法规和招标文件的规定，对投标文件的有效性、完整性和对招标文件的响应程度进行审查，以确定是否对招标文件的实质性要求作出响应。</w:t>
      </w:r>
    </w:p>
    <w:p w14:paraId="7A486AFA">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22.2.2.2 实质性要求是指本招标文件中带“★”的要求。</w:t>
      </w:r>
    </w:p>
    <w:p w14:paraId="76F15A5A">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22.2.2.3 如果投标文件实质上没有响应招标文件的要求，评标委员会将予以拒绝，投标人不得通过修改或撤销不符合要求的偏离而使其投标成为实质性响应的投标。</w:t>
      </w:r>
    </w:p>
    <w:p w14:paraId="4DF17001">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22.2.2.4 算术错误的修正</w:t>
      </w:r>
    </w:p>
    <w:p w14:paraId="7FC23CFD">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22.2.2.4.1 </w:t>
      </w:r>
      <w:r>
        <w:rPr>
          <w:rFonts w:hint="eastAsia"/>
          <w:color w:val="000000" w:themeColor="text1"/>
          <w:highlight w:val="none"/>
          <w14:textFill>
            <w14:solidFill>
              <w14:schemeClr w14:val="tx1"/>
            </w14:solidFill>
          </w14:textFill>
        </w:rPr>
        <w:t>评标委员会将对确定为实质性响应的投标进行进一步审核，看其是否有计算上或累加上的算术错误，修正错误的原则如下：</w:t>
      </w:r>
    </w:p>
    <w:p w14:paraId="1012BD59">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（1）投标文件中开标一览表内容与投标文件中相应内容不一致的，以开标一览表为准。</w:t>
      </w:r>
    </w:p>
    <w:p w14:paraId="00586294">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（2）大写金额和小写金额不一致的，以大写金额为准。</w:t>
      </w:r>
    </w:p>
    <w:p w14:paraId="3D6DBADA">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（3）单价金额小数点或者百分比有明显错位的，以开标一览表的总价为准，并修改单价。</w:t>
      </w:r>
    </w:p>
    <w:p w14:paraId="4F6D483E">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（4）总价金额与按单价汇总金额不一致的，以单价金额计算结果为准。</w:t>
      </w:r>
    </w:p>
    <w:p w14:paraId="65BC8C62">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同时出现两种以上错误的，按照前款规定的顺序修正。</w:t>
      </w:r>
    </w:p>
    <w:p w14:paraId="00CA1AEE">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22.2.2.4.2 </w:t>
      </w:r>
      <w:r>
        <w:rPr>
          <w:rFonts w:hint="eastAsia"/>
          <w:color w:val="000000" w:themeColor="text1"/>
          <w:highlight w:val="none"/>
          <w14:textFill>
            <w14:solidFill>
              <w14:schemeClr w14:val="tx1"/>
            </w14:solidFill>
          </w14:textFill>
        </w:rPr>
        <w:t>评标委员会将按上述修正错误的方法调整投标文件中的投标报价，并通过苏采云系统告知投标人</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经投标人确认后产生约束力，投标人不确认的，其投标无效。</w:t>
      </w:r>
    </w:p>
    <w:p w14:paraId="55E0ED45">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w:t>
      </w:r>
      <w:r>
        <w:rPr>
          <w:rFonts w:hint="eastAsia"/>
          <w:color w:val="000000" w:themeColor="text1"/>
          <w:highlight w:val="none"/>
          <w:lang w:val="en-US" w:eastAsia="zh-CN"/>
          <w14:textFill>
            <w14:solidFill>
              <w14:schemeClr w14:val="tx1"/>
            </w14:solidFill>
          </w14:textFill>
        </w:rPr>
        <w:t xml:space="preserve">5 </w:t>
      </w:r>
      <w:r>
        <w:rPr>
          <w:rFonts w:hint="eastAsia"/>
          <w:color w:val="000000" w:themeColor="text1"/>
          <w:highlight w:val="none"/>
          <w14:textFill>
            <w14:solidFill>
              <w14:schemeClr w14:val="tx1"/>
            </w14:solidFill>
          </w14:textFill>
        </w:rPr>
        <w:t>异常低价审查</w:t>
      </w:r>
    </w:p>
    <w:p w14:paraId="6364286A">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w:t>
      </w:r>
      <w:r>
        <w:rPr>
          <w:rFonts w:hint="eastAsia"/>
          <w:color w:val="000000" w:themeColor="text1"/>
          <w:highlight w:val="none"/>
          <w:lang w:val="en-US" w:eastAsia="zh-CN"/>
          <w14:textFill>
            <w14:solidFill>
              <w14:schemeClr w14:val="tx1"/>
            </w14:solidFill>
          </w14:textFill>
        </w:rPr>
        <w:t xml:space="preserve">5.1 </w:t>
      </w:r>
      <w:r>
        <w:rPr>
          <w:rFonts w:hint="eastAsia"/>
          <w:color w:val="000000" w:themeColor="text1"/>
          <w:highlight w:val="none"/>
          <w14:textFill>
            <w14:solidFill>
              <w14:schemeClr w14:val="tx1"/>
            </w14:solidFill>
          </w14:textFill>
        </w:rPr>
        <w:t>评标过程中出现下列情形之一的，评标委员会应当启动异常低价投标审查程序：</w:t>
      </w:r>
    </w:p>
    <w:p w14:paraId="404DE8A7">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（1）投标报价低于全部通过符合性审查</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投标报价平均值50%的，即投标报价&lt;全部通过符合性审查</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投标报价平均值×50%；</w:t>
      </w:r>
    </w:p>
    <w:p w14:paraId="0193578A">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（2）投标报价低于通过符合性审查的次低报价</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投标报价50%的，即投标报价&lt;通过符合性审查的次低报价</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投标报价×50%；</w:t>
      </w:r>
    </w:p>
    <w:p w14:paraId="66CFDFDF">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（3）投标报价低于采购项目最高限价</w:t>
      </w:r>
      <w:r>
        <w:rPr>
          <w:rFonts w:hint="eastAsia"/>
          <w:color w:val="000000" w:themeColor="text1"/>
          <w:highlight w:val="none"/>
          <w:lang w:val="en-US" w:eastAsia="zh-CN"/>
          <w14:textFill>
            <w14:solidFill>
              <w14:schemeClr w14:val="tx1"/>
            </w14:solidFill>
          </w14:textFill>
        </w:rPr>
        <w:t>45</w:t>
      </w:r>
      <w:r>
        <w:rPr>
          <w:rFonts w:hint="eastAsia"/>
          <w:color w:val="000000" w:themeColor="text1"/>
          <w:highlight w:val="none"/>
          <w14:textFill>
            <w14:solidFill>
              <w14:schemeClr w14:val="tx1"/>
            </w14:solidFill>
          </w14:textFill>
        </w:rPr>
        <w:t>%的，即投标报价&lt;采购项目最高限价×</w:t>
      </w:r>
      <w:r>
        <w:rPr>
          <w:rFonts w:hint="eastAsia"/>
          <w:color w:val="000000" w:themeColor="text1"/>
          <w:highlight w:val="none"/>
          <w:lang w:val="en-US" w:eastAsia="zh-CN"/>
          <w14:textFill>
            <w14:solidFill>
              <w14:schemeClr w14:val="tx1"/>
            </w14:solidFill>
          </w14:textFill>
        </w:rPr>
        <w:t>45</w:t>
      </w:r>
      <w:r>
        <w:rPr>
          <w:rFonts w:hint="eastAsia"/>
          <w:color w:val="000000" w:themeColor="text1"/>
          <w:highlight w:val="none"/>
          <w14:textFill>
            <w14:solidFill>
              <w14:schemeClr w14:val="tx1"/>
            </w14:solidFill>
          </w14:textFill>
        </w:rPr>
        <w:t>%；</w:t>
      </w:r>
    </w:p>
    <w:p w14:paraId="7E87743E">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（4）评标委员会基于专业判断，认为</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报价过低，有可能影响产品质量或者不能诚信履约的其他情形。</w:t>
      </w:r>
    </w:p>
    <w:p w14:paraId="4EA8F90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w:t>
      </w:r>
      <w:r>
        <w:rPr>
          <w:rFonts w:hint="eastAsia"/>
          <w:color w:val="000000" w:themeColor="text1"/>
          <w:highlight w:val="none"/>
          <w:lang w:val="en-US" w:eastAsia="zh-CN"/>
          <w14:textFill>
            <w14:solidFill>
              <w14:schemeClr w14:val="tx1"/>
            </w14:solidFill>
          </w14:textFill>
        </w:rPr>
        <w:t xml:space="preserve">5.2 </w:t>
      </w:r>
      <w:r>
        <w:rPr>
          <w:rFonts w:hint="eastAsia"/>
          <w:color w:val="000000" w:themeColor="text1"/>
          <w:highlight w:val="none"/>
          <w14:textFill>
            <w14:solidFill>
              <w14:schemeClr w14:val="tx1"/>
            </w14:solidFill>
          </w14:textFill>
        </w:rPr>
        <w:t>评标委员会启动异常低价投标审查后，属于前述第（1）项至第（4）项情形的，应当要求相关</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在评审现场合理的时间内对投标价格作出解释，提供项目具体成本测算等与报价合理性相关的书面说明及必要的证明材料，包括但不限于原材料成本、人工成本、制造费用等，给予相关</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的合理时间一般不少于30分钟。其中，属于第（3）项情形，</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已随投标文件一并提交相关书面说明及必要的证明材料的，在评标现场可不再重复提交。</w:t>
      </w:r>
    </w:p>
    <w:p w14:paraId="5A87EDF0">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评标委员会依据专业经验，参考同类项目中标价格、类似产品市场价格水平、行业人工费用标准、国家有关部门指导行业协会发布的行业平均成本等情况，对报价合理性进行判断。</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不能提供书面说明、证明材料，或者提供的书面说明、证明材料不能证明其报价合理性的，评标委员会应当将其作为无效投标处理。</w:t>
      </w:r>
    </w:p>
    <w:p w14:paraId="7A2F8F7C">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22.2.2.</w:t>
      </w: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 xml:space="preserve"> 投标文件有下列情况之一的，在符合性审查时按照无效投标处理</w:t>
      </w:r>
      <w:r>
        <w:rPr>
          <w:rFonts w:hint="eastAsia"/>
          <w:color w:val="000000" w:themeColor="text1"/>
          <w:highlight w:val="none"/>
          <w:lang w:eastAsia="zh-CN"/>
          <w14:textFill>
            <w14:solidFill>
              <w14:schemeClr w14:val="tx1"/>
            </w14:solidFill>
          </w14:textFill>
        </w:rPr>
        <w:t>：</w:t>
      </w:r>
    </w:p>
    <w:p w14:paraId="00FFC09D">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（1）投标人在苏采云系统规定的时间内未成功解密电子投标文件；</w:t>
      </w:r>
    </w:p>
    <w:p w14:paraId="1BAFF13B">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（2）投标人未按照招标文件要求上传电子投标文件；</w:t>
      </w:r>
    </w:p>
    <w:p w14:paraId="764C2545">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（3）报价超过招标文件中规定的预算金额或者最高限价的；</w:t>
      </w:r>
    </w:p>
    <w:p w14:paraId="182BAEA9">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（4）不同投标人的投标文件由同一单位或者个人编制；</w:t>
      </w:r>
    </w:p>
    <w:p w14:paraId="7CBAD4E3">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（5）不同投标人委托同一单位或者个人办理投标事宜；</w:t>
      </w:r>
    </w:p>
    <w:p w14:paraId="5C6797E2">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（6）不同投标人的投标文件载明的项目管理成员或者联系人员为同一人；</w:t>
      </w:r>
    </w:p>
    <w:p w14:paraId="08EA578C">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（7）不同投标人的投标文件异常一致或者投标报价呈规律性差异；</w:t>
      </w:r>
    </w:p>
    <w:p w14:paraId="7547B2DB">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（8）不同投标人的投标文件相互混装；</w:t>
      </w:r>
    </w:p>
    <w:p w14:paraId="1606B1CF">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（9）不同投标人的负责人为同一人或者存在控股、管理关系的；</w:t>
      </w:r>
    </w:p>
    <w:p w14:paraId="34F1B8C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0</w:t>
      </w:r>
      <w:r>
        <w:rPr>
          <w:rFonts w:hint="eastAsia"/>
          <w:color w:val="000000" w:themeColor="text1"/>
          <w:highlight w:val="none"/>
          <w14:textFill>
            <w14:solidFill>
              <w14:schemeClr w14:val="tx1"/>
            </w14:solidFill>
          </w14:textFill>
        </w:rPr>
        <w:t>）不同投标人的授权委托人（或法定代表人、项目经理、项目总监、项目负责人等）在招标文件发布日上月至投标截止日当月在同一单位缴纳社会保险的；</w:t>
      </w:r>
    </w:p>
    <w:p w14:paraId="65063070">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）未实质性响应招标文件要求的；</w:t>
      </w:r>
    </w:p>
    <w:p w14:paraId="65E0981F">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）属于投标邀请中拒绝参加本次采购活动投标人的；</w:t>
      </w:r>
    </w:p>
    <w:p w14:paraId="10515C65">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）投标文件含有采购人不能接受的附加条件的；</w:t>
      </w:r>
    </w:p>
    <w:p w14:paraId="5777C874">
      <w:pPr>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）评标委员会</w:t>
      </w:r>
      <w:r>
        <w:rPr>
          <w:rFonts w:hint="eastAsia"/>
          <w:color w:val="000000" w:themeColor="text1"/>
          <w:highlight w:val="none"/>
          <w:lang w:val="en-US" w:eastAsia="zh-CN"/>
          <w14:textFill>
            <w14:solidFill>
              <w14:schemeClr w14:val="tx1"/>
            </w14:solidFill>
          </w14:textFill>
        </w:rPr>
        <w:t>启动</w:t>
      </w:r>
      <w:r>
        <w:rPr>
          <w:rFonts w:hint="eastAsia"/>
          <w:color w:val="000000" w:themeColor="text1"/>
          <w:highlight w:val="none"/>
          <w14:textFill>
            <w14:solidFill>
              <w14:schemeClr w14:val="tx1"/>
            </w14:solidFill>
          </w14:textFill>
        </w:rPr>
        <w:t>异常低价投标审查程序</w:t>
      </w:r>
      <w:r>
        <w:rPr>
          <w:rFonts w:hint="eastAsia"/>
          <w:color w:val="000000" w:themeColor="text1"/>
          <w:highlight w:val="none"/>
          <w:lang w:val="en-US" w:eastAsia="zh-CN"/>
          <w14:textFill>
            <w14:solidFill>
              <w14:schemeClr w14:val="tx1"/>
            </w14:solidFill>
          </w14:textFill>
        </w:rPr>
        <w:t>后，</w:t>
      </w:r>
      <w:r>
        <w:rPr>
          <w:rFonts w:hint="eastAsia"/>
          <w:color w:val="000000" w:themeColor="text1"/>
          <w:highlight w:val="none"/>
          <w14:textFill>
            <w14:solidFill>
              <w14:schemeClr w14:val="tx1"/>
            </w14:solidFill>
          </w14:textFill>
        </w:rPr>
        <w:t>投标人不能提供书面说明、证明材料，或者提供的书面说明、证明材料不能证明其报价合理性的</w:t>
      </w:r>
      <w:r>
        <w:rPr>
          <w:rFonts w:hint="eastAsia"/>
          <w:color w:val="000000" w:themeColor="text1"/>
          <w:highlight w:val="none"/>
          <w:lang w:eastAsia="zh-CN"/>
          <w14:textFill>
            <w14:solidFill>
              <w14:schemeClr w14:val="tx1"/>
            </w14:solidFill>
          </w14:textFill>
        </w:rPr>
        <w:t>；</w:t>
      </w:r>
    </w:p>
    <w:p w14:paraId="682AA5E1">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15</w:t>
      </w:r>
      <w:r>
        <w:rPr>
          <w:rFonts w:hint="eastAsia"/>
          <w:color w:val="000000" w:themeColor="text1"/>
          <w:highlight w:val="none"/>
          <w:lang w:eastAsia="zh-CN"/>
          <w14:textFill>
            <w14:solidFill>
              <w14:schemeClr w14:val="tx1"/>
            </w14:solidFill>
          </w14:textFill>
        </w:rPr>
        <w:t>）投标文件未按照招标文件要求加盖电子公章；</w:t>
      </w:r>
    </w:p>
    <w:p w14:paraId="2DA110FE">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）改变</w:t>
      </w:r>
      <w:r>
        <w:rPr>
          <w:rFonts w:hint="eastAsia"/>
          <w:color w:val="000000" w:themeColor="text1"/>
          <w:highlight w:val="none"/>
          <w:lang w:val="en-US" w:eastAsia="zh-CN"/>
          <w14:textFill>
            <w14:solidFill>
              <w14:schemeClr w14:val="tx1"/>
            </w14:solidFill>
          </w14:textFill>
        </w:rPr>
        <w:t>招标</w:t>
      </w:r>
      <w:r>
        <w:rPr>
          <w:rFonts w:hint="eastAsia"/>
          <w:color w:val="000000" w:themeColor="text1"/>
          <w:highlight w:val="none"/>
          <w14:textFill>
            <w14:solidFill>
              <w14:schemeClr w14:val="tx1"/>
            </w14:solidFill>
          </w14:textFill>
        </w:rPr>
        <w:t>文件提供的工程量清单中的项目编码、项目名称、项目特征、计量单位、工程量的；</w:t>
      </w:r>
    </w:p>
    <w:p w14:paraId="335C3432">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）改变</w:t>
      </w:r>
      <w:r>
        <w:rPr>
          <w:rFonts w:hint="eastAsia"/>
          <w:color w:val="000000" w:themeColor="text1"/>
          <w:highlight w:val="none"/>
          <w:lang w:val="en-US" w:eastAsia="zh-CN"/>
          <w14:textFill>
            <w14:solidFill>
              <w14:schemeClr w14:val="tx1"/>
            </w14:solidFill>
          </w14:textFill>
        </w:rPr>
        <w:t>招标</w:t>
      </w:r>
      <w:r>
        <w:rPr>
          <w:rFonts w:hint="eastAsia"/>
          <w:color w:val="000000" w:themeColor="text1"/>
          <w:highlight w:val="none"/>
          <w14:textFill>
            <w14:solidFill>
              <w14:schemeClr w14:val="tx1"/>
            </w14:solidFill>
          </w14:textFill>
        </w:rPr>
        <w:t>文件规定的暂估价、暂列金额及甲供材料价格的；（若有）</w:t>
      </w:r>
    </w:p>
    <w:p w14:paraId="24492820">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18</w:t>
      </w:r>
      <w:r>
        <w:rPr>
          <w:rFonts w:hint="eastAsia"/>
          <w:color w:val="000000" w:themeColor="text1"/>
          <w:highlight w:val="none"/>
          <w14:textFill>
            <w14:solidFill>
              <w14:schemeClr w14:val="tx1"/>
            </w14:solidFill>
          </w14:textFill>
        </w:rPr>
        <w:t>）改变</w:t>
      </w:r>
      <w:r>
        <w:rPr>
          <w:rFonts w:hint="eastAsia"/>
          <w:color w:val="000000" w:themeColor="text1"/>
          <w:highlight w:val="none"/>
          <w:lang w:val="en-US" w:eastAsia="zh-CN"/>
          <w14:textFill>
            <w14:solidFill>
              <w14:schemeClr w14:val="tx1"/>
            </w14:solidFill>
          </w14:textFill>
        </w:rPr>
        <w:t>招标</w:t>
      </w:r>
      <w:r>
        <w:rPr>
          <w:rFonts w:hint="eastAsia"/>
          <w:color w:val="000000" w:themeColor="text1"/>
          <w:highlight w:val="none"/>
          <w14:textFill>
            <w14:solidFill>
              <w14:schemeClr w14:val="tx1"/>
            </w14:solidFill>
          </w14:textFill>
        </w:rPr>
        <w:t>文件明确列出的不可竞争费用项目或费率或计算基础的；（若有）</w:t>
      </w:r>
    </w:p>
    <w:p w14:paraId="4342C26D">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19）</w:t>
      </w:r>
      <w:r>
        <w:rPr>
          <w:rFonts w:hint="eastAsia"/>
          <w:color w:val="000000" w:themeColor="text1"/>
          <w:highlight w:val="none"/>
          <w14:textFill>
            <w14:solidFill>
              <w14:schemeClr w14:val="tx1"/>
            </w14:solidFill>
          </w14:textFill>
        </w:rPr>
        <w:t>不符合</w:t>
      </w:r>
      <w:r>
        <w:rPr>
          <w:rFonts w:hint="eastAsia"/>
          <w:color w:val="000000" w:themeColor="text1"/>
          <w:highlight w:val="none"/>
          <w:lang w:eastAsia="zh-CN"/>
          <w14:textFill>
            <w14:solidFill>
              <w14:schemeClr w14:val="tx1"/>
            </w14:solidFill>
          </w14:textFill>
        </w:rPr>
        <w:t>法律法规</w:t>
      </w:r>
      <w:r>
        <w:rPr>
          <w:rFonts w:hint="eastAsia"/>
          <w:color w:val="000000" w:themeColor="text1"/>
          <w:highlight w:val="none"/>
          <w14:textFill>
            <w14:solidFill>
              <w14:schemeClr w14:val="tx1"/>
            </w14:solidFill>
          </w14:textFill>
        </w:rPr>
        <w:t>和招标文件规定的其他无效情形。</w:t>
      </w:r>
    </w:p>
    <w:p w14:paraId="2DC7DDB2">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w:t>
      </w:r>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 xml:space="preserve"> 有下列情形之一的予以废标，同时将废标理由通知所有投标人</w:t>
      </w:r>
    </w:p>
    <w:p w14:paraId="222B9D68">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（1）符合资格条件的投标人或者对招标文件作实质性响应的投标人不足三家的；</w:t>
      </w:r>
    </w:p>
    <w:p w14:paraId="17913CA2">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（2）出现影响采购公正的违法、违规行为的；</w:t>
      </w:r>
    </w:p>
    <w:p w14:paraId="7805FBE3">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（3）投标人的报价均超过了采购预算或最高限价，采购人不能支付的；</w:t>
      </w:r>
    </w:p>
    <w:p w14:paraId="03F24A57">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（4）因重大变故，采购任务取消的；</w:t>
      </w:r>
    </w:p>
    <w:p w14:paraId="7FC12E7C">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w:t>
      </w:r>
      <w:r>
        <w:rPr>
          <w:rFonts w:hint="eastAsia"/>
          <w:color w:val="000000" w:themeColor="text1"/>
          <w:highlight w:val="none"/>
          <w:lang w:val="en-US" w:eastAsia="zh-CN"/>
          <w14:textFill>
            <w14:solidFill>
              <w14:schemeClr w14:val="tx1"/>
            </w14:solidFill>
          </w14:textFill>
        </w:rPr>
        <w:t>评标委员会认为</w:t>
      </w:r>
      <w:r>
        <w:rPr>
          <w:rFonts w:hint="eastAsia"/>
          <w:color w:val="000000" w:themeColor="text1"/>
          <w:highlight w:val="none"/>
          <w14:textFill>
            <w14:solidFill>
              <w14:schemeClr w14:val="tx1"/>
            </w14:solidFill>
          </w14:textFill>
        </w:rPr>
        <w:t>招标文件存在歧义、重大缺陷，或者招标文件内容违反国家有关强制性规定的；</w:t>
      </w:r>
    </w:p>
    <w:p w14:paraId="2212D0CE">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（6）预留份额的采购项目或采购包，通过发布公告方式邀请投标人后，符合资格条件的中小企业数量不足3家的</w:t>
      </w:r>
      <w:r>
        <w:rPr>
          <w:rFonts w:hint="eastAsia"/>
          <w:color w:val="000000" w:themeColor="text1"/>
          <w:highlight w:val="none"/>
          <w:lang w:eastAsia="zh-CN"/>
          <w14:textFill>
            <w14:solidFill>
              <w14:schemeClr w14:val="tx1"/>
            </w14:solidFill>
          </w14:textFill>
        </w:rPr>
        <w:t>；</w:t>
      </w:r>
    </w:p>
    <w:p w14:paraId="64D7883E">
      <w:pPr>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w:t>
      </w:r>
      <w:r>
        <w:rPr>
          <w:rFonts w:hint="eastAsia" w:eastAsia="宋体"/>
          <w:color w:val="000000" w:themeColor="text1"/>
          <w:highlight w:val="none"/>
          <w:lang w:val="en-US" w:eastAsia="zh-CN"/>
          <w14:textFill>
            <w14:solidFill>
              <w14:schemeClr w14:val="tx1"/>
            </w14:solidFill>
          </w14:textFill>
        </w:rPr>
        <w:t>7</w:t>
      </w:r>
      <w:r>
        <w:rPr>
          <w:rFonts w:hint="eastAsia" w:eastAsia="宋体"/>
          <w:color w:val="000000" w:themeColor="text1"/>
          <w:highlight w:val="none"/>
          <w:lang w:eastAsia="zh-CN"/>
          <w14:textFill>
            <w14:solidFill>
              <w14:schemeClr w14:val="tx1"/>
            </w14:solidFill>
          </w14:textFill>
        </w:rPr>
        <w:t>）因苏采云系统故障造成开标不成功。</w:t>
      </w:r>
    </w:p>
    <w:p w14:paraId="21E1AA1A">
      <w:pPr>
        <w:rPr>
          <w:rFonts w:hint="eastAsia" w:eastAsia="宋体"/>
          <w:b/>
          <w:bCs/>
          <w:color w:val="000000" w:themeColor="text1"/>
          <w:highlight w:val="none"/>
          <w:lang w:eastAsia="zh-CN"/>
          <w14:textFill>
            <w14:solidFill>
              <w14:schemeClr w14:val="tx1"/>
            </w14:solidFill>
          </w14:textFill>
        </w:rPr>
      </w:pPr>
      <w:r>
        <w:rPr>
          <w:rFonts w:hint="eastAsia" w:eastAsia="宋体"/>
          <w:b/>
          <w:bCs/>
          <w:color w:val="000000" w:themeColor="text1"/>
          <w:highlight w:val="none"/>
          <w:lang w:eastAsia="zh-CN"/>
          <w14:textFill>
            <w14:solidFill>
              <w14:schemeClr w14:val="tx1"/>
            </w14:solidFill>
          </w14:textFill>
        </w:rPr>
        <w:t>如出现（</w:t>
      </w:r>
      <w:r>
        <w:rPr>
          <w:rFonts w:hint="eastAsia" w:eastAsia="宋体"/>
          <w:b/>
          <w:bCs/>
          <w:color w:val="000000" w:themeColor="text1"/>
          <w:highlight w:val="none"/>
          <w:lang w:val="en-US" w:eastAsia="zh-CN"/>
          <w14:textFill>
            <w14:solidFill>
              <w14:schemeClr w14:val="tx1"/>
            </w14:solidFill>
          </w14:textFill>
        </w:rPr>
        <w:t>1</w:t>
      </w:r>
      <w:r>
        <w:rPr>
          <w:rFonts w:hint="eastAsia" w:eastAsia="宋体"/>
          <w:b/>
          <w:bCs/>
          <w:color w:val="000000" w:themeColor="text1"/>
          <w:highlight w:val="none"/>
          <w:lang w:eastAsia="zh-CN"/>
          <w14:textFill>
            <w14:solidFill>
              <w14:schemeClr w14:val="tx1"/>
            </w14:solidFill>
          </w14:textFill>
        </w:rPr>
        <w:t>）或（</w:t>
      </w:r>
      <w:r>
        <w:rPr>
          <w:rFonts w:hint="eastAsia" w:eastAsia="宋体"/>
          <w:b/>
          <w:bCs/>
          <w:color w:val="000000" w:themeColor="text1"/>
          <w:highlight w:val="none"/>
          <w:lang w:val="en-US" w:eastAsia="zh-CN"/>
          <w14:textFill>
            <w14:solidFill>
              <w14:schemeClr w14:val="tx1"/>
            </w14:solidFill>
          </w14:textFill>
        </w:rPr>
        <w:t>4</w:t>
      </w:r>
      <w:r>
        <w:rPr>
          <w:rFonts w:hint="eastAsia" w:eastAsia="宋体"/>
          <w:b/>
          <w:bCs/>
          <w:color w:val="000000" w:themeColor="text1"/>
          <w:highlight w:val="none"/>
          <w:lang w:eastAsia="zh-CN"/>
          <w14:textFill>
            <w14:solidFill>
              <w14:schemeClr w14:val="tx1"/>
            </w14:solidFill>
          </w14:textFill>
        </w:rPr>
        <w:t>）情形，招标活动失败，评审委员会应对招标文件是否存在不合理条款进行论证，并在评审报告中写明论证意见。</w:t>
      </w:r>
    </w:p>
    <w:p w14:paraId="50F12125">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22.2.2.</w:t>
      </w:r>
      <w:r>
        <w:rPr>
          <w:rFonts w:hint="eastAsia"/>
          <w:color w:val="000000" w:themeColor="text1"/>
          <w:highlight w:val="none"/>
          <w:lang w:val="en-US" w:eastAsia="zh-CN"/>
          <w14:textFill>
            <w14:solidFill>
              <w14:schemeClr w14:val="tx1"/>
            </w14:solidFill>
          </w14:textFill>
        </w:rPr>
        <w:t>8</w:t>
      </w:r>
      <w:r>
        <w:rPr>
          <w:rFonts w:hint="eastAsia"/>
          <w:color w:val="000000" w:themeColor="text1"/>
          <w:highlight w:val="none"/>
          <w14:textFill>
            <w14:solidFill>
              <w14:schemeClr w14:val="tx1"/>
            </w14:solidFill>
          </w14:textFill>
        </w:rPr>
        <w:t xml:space="preserve"> 投标截止时间结束参加投标的投标人不足三家的处理</w:t>
      </w:r>
    </w:p>
    <w:p w14:paraId="7EF4ECA7">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p>
    <w:p w14:paraId="77820A68">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p>
    <w:p w14:paraId="78433C83">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22.2.2.9 未通过资格审查或符合性审查的投标人，采购代理机构将通过苏采云系统告知其具体原因，评标结束后不再接受有关询问。</w:t>
      </w:r>
    </w:p>
    <w:p w14:paraId="61C96AA7">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22.2.2.10 </w:t>
      </w:r>
      <w:r>
        <w:rPr>
          <w:rFonts w:hint="default"/>
          <w:color w:val="000000" w:themeColor="text1"/>
          <w:highlight w:val="none"/>
          <w:lang w:val="en-US" w:eastAsia="zh-CN"/>
          <w14:textFill>
            <w14:solidFill>
              <w14:schemeClr w14:val="tx1"/>
            </w14:solidFill>
          </w14:textFill>
        </w:rPr>
        <w:t>投标人在开、评标全过程中应保持通讯畅通，及时登录苏采云系统查阅、答复相关信息，并安排专人与交易中心及评委会联系。</w:t>
      </w:r>
    </w:p>
    <w:p w14:paraId="62636F6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22.2.3 投标文件的进一步评审</w:t>
      </w:r>
    </w:p>
    <w:p w14:paraId="296D2F5C">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22.2.3.1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评标委员会将允许修正投标文件中不构成重大偏离的、微小的、非正规的、不一致的或不规则的地方，但这些修改不能影响任何投标人相应的名次排列。</w:t>
      </w:r>
    </w:p>
    <w:p w14:paraId="5DA29E39">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22.2.3.</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 xml:space="preserve"> 澄清有关问题。</w:t>
      </w:r>
    </w:p>
    <w:p w14:paraId="2D4CD6E9">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22.2.3.</w:t>
      </w:r>
      <w:r>
        <w:rPr>
          <w:rFonts w:hint="eastAsia"/>
          <w:color w:val="000000" w:themeColor="text1"/>
          <w:highlight w:val="none"/>
          <w:lang w:val="en-US" w:eastAsia="zh-CN"/>
          <w14:textFill>
            <w14:solidFill>
              <w14:schemeClr w14:val="tx1"/>
            </w14:solidFill>
          </w14:textFill>
        </w:rPr>
        <w:t>2.1</w:t>
      </w:r>
      <w:r>
        <w:rPr>
          <w:rFonts w:hint="eastAsia"/>
          <w:color w:val="000000" w:themeColor="text1"/>
          <w:highlight w:val="none"/>
          <w14:textFill>
            <w14:solidFill>
              <w14:schemeClr w14:val="tx1"/>
            </w14:solidFill>
          </w14:textFill>
        </w:rPr>
        <w:t xml:space="preserve"> 对于投标文件中含义不明确、同类问题表述不一致或者有明显文字和计算错误的内容，评标委员</w:t>
      </w:r>
      <w:r>
        <w:rPr>
          <w:rFonts w:hint="eastAsia"/>
          <w:color w:val="000000" w:themeColor="text1"/>
          <w:highlight w:val="none"/>
          <w:lang w:val="en-US" w:eastAsia="zh-CN"/>
          <w14:textFill>
            <w14:solidFill>
              <w14:schemeClr w14:val="tx1"/>
            </w14:solidFill>
          </w14:textFill>
        </w:rPr>
        <w:t>会</w:t>
      </w:r>
      <w:r>
        <w:rPr>
          <w:rFonts w:hint="eastAsia" w:ascii="宋体" w:hAnsi="宋体" w:eastAsia="宋体" w:cs="Times New Roman"/>
          <w:color w:val="000000" w:themeColor="text1"/>
          <w:sz w:val="24"/>
          <w:highlight w:val="none"/>
          <w:lang w:val="zh-CN"/>
          <w14:textFill>
            <w14:solidFill>
              <w14:schemeClr w14:val="tx1"/>
            </w14:solidFill>
          </w14:textFill>
        </w:rPr>
        <w:t>将通过苏采云系统向</w:t>
      </w:r>
      <w:r>
        <w:rPr>
          <w:rFonts w:hint="eastAsia" w:ascii="宋体" w:hAnsi="宋体" w:eastAsia="宋体" w:cs="Times New Roman"/>
          <w:color w:val="000000" w:themeColor="text1"/>
          <w:sz w:val="24"/>
          <w:highlight w:val="none"/>
          <w:lang w:val="en-US" w:eastAsia="zh-CN"/>
          <w14:textFill>
            <w14:solidFill>
              <w14:schemeClr w14:val="tx1"/>
            </w14:solidFill>
          </w14:textFill>
        </w:rPr>
        <w:t>投标人</w:t>
      </w:r>
      <w:r>
        <w:rPr>
          <w:rFonts w:hint="eastAsia" w:ascii="宋体" w:hAnsi="宋体" w:eastAsia="宋体" w:cs="Times New Roman"/>
          <w:color w:val="000000" w:themeColor="text1"/>
          <w:sz w:val="24"/>
          <w:highlight w:val="none"/>
          <w:lang w:val="zh-CN"/>
          <w14:textFill>
            <w14:solidFill>
              <w14:schemeClr w14:val="tx1"/>
            </w14:solidFill>
          </w14:textFill>
        </w:rPr>
        <w:t>发出《澄清要求函》，接到《澄清要求函》的</w:t>
      </w:r>
      <w:r>
        <w:rPr>
          <w:rFonts w:hint="eastAsia" w:ascii="宋体" w:hAnsi="宋体" w:eastAsia="宋体" w:cs="Times New Roman"/>
          <w:color w:val="000000" w:themeColor="text1"/>
          <w:sz w:val="24"/>
          <w:highlight w:val="none"/>
          <w:lang w:val="en-US" w:eastAsia="zh-CN"/>
          <w14:textFill>
            <w14:solidFill>
              <w14:schemeClr w14:val="tx1"/>
            </w14:solidFill>
          </w14:textFill>
        </w:rPr>
        <w:t>投标人</w:t>
      </w:r>
      <w:r>
        <w:rPr>
          <w:rFonts w:hint="eastAsia" w:ascii="宋体" w:hAnsi="宋体" w:eastAsia="宋体" w:cs="Times New Roman"/>
          <w:color w:val="000000" w:themeColor="text1"/>
          <w:sz w:val="24"/>
          <w:highlight w:val="none"/>
          <w:lang w:val="zh-CN"/>
          <w14:textFill>
            <w14:solidFill>
              <w14:schemeClr w14:val="tx1"/>
            </w14:solidFill>
          </w14:textFill>
        </w:rPr>
        <w:t>应当按照要求在苏采云系统中提交《澄清响应函》并加盖电子公章。澄清、说明和补正的内容作为投标文件的补充部分，具体操作方式见《操作手册》。</w:t>
      </w:r>
    </w:p>
    <w:p w14:paraId="18D8A6F3">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22.2.3.</w:t>
      </w:r>
      <w:r>
        <w:rPr>
          <w:rFonts w:hint="eastAsia"/>
          <w:color w:val="000000" w:themeColor="text1"/>
          <w:highlight w:val="none"/>
          <w:lang w:val="en-US" w:eastAsia="zh-CN"/>
          <w14:textFill>
            <w14:solidFill>
              <w14:schemeClr w14:val="tx1"/>
            </w14:solidFill>
          </w14:textFill>
        </w:rPr>
        <w:t>2.2</w:t>
      </w:r>
      <w:r>
        <w:rPr>
          <w:rFonts w:hint="eastAsia"/>
          <w:color w:val="000000" w:themeColor="text1"/>
          <w:highlight w:val="none"/>
          <w14:textFill>
            <w14:solidFill>
              <w14:schemeClr w14:val="tx1"/>
            </w14:solidFill>
          </w14:textFill>
        </w:rPr>
        <w:t xml:space="preserve"> 接到评标委员</w:t>
      </w:r>
      <w:r>
        <w:rPr>
          <w:rFonts w:hint="eastAsia"/>
          <w:color w:val="000000" w:themeColor="text1"/>
          <w:highlight w:val="none"/>
          <w:lang w:val="en-US" w:eastAsia="zh-CN"/>
          <w14:textFill>
            <w14:solidFill>
              <w14:schemeClr w14:val="tx1"/>
            </w14:solidFill>
          </w14:textFill>
        </w:rPr>
        <w:t>会</w:t>
      </w:r>
      <w:r>
        <w:rPr>
          <w:rFonts w:hint="eastAsia"/>
          <w:color w:val="000000" w:themeColor="text1"/>
          <w:highlight w:val="none"/>
          <w14:textFill>
            <w14:solidFill>
              <w14:schemeClr w14:val="tx1"/>
            </w14:solidFill>
          </w14:textFill>
        </w:rPr>
        <w:t>澄清、说明和补正要求的，投标人如未按规定作出澄清、说明和补正，其风险由投标人自行承担。</w:t>
      </w:r>
    </w:p>
    <w:p w14:paraId="41D76C30">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22.2.3.</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 xml:space="preserve"> 比较与评价。评标委员会应当按照招标文件中规定的评标方法和标准，对符合性审查合格的投标文件进行商务和技术评估，综合比较与评价。</w:t>
      </w:r>
    </w:p>
    <w:p w14:paraId="6AAD671F">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22.3 评标方法和标准</w:t>
      </w:r>
    </w:p>
    <w:p w14:paraId="4C7DC02E">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22.3.1 采用综合评分法</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是指投标文件满足招标文件全部实质性要求，且按照评审因素的量化指标评审得分最高的投标人为中标候选人的评标方法。</w:t>
      </w:r>
    </w:p>
    <w:p w14:paraId="0CDB291F">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22.3.2 </w:t>
      </w:r>
      <w:r>
        <w:rPr>
          <w:rFonts w:hint="eastAsia"/>
          <w:color w:val="000000" w:themeColor="text1"/>
          <w:highlight w:val="none"/>
          <w:lang w:val="en-US" w:eastAsia="zh-CN"/>
          <w14:textFill>
            <w14:solidFill>
              <w14:schemeClr w14:val="tx1"/>
            </w14:solidFill>
          </w14:textFill>
        </w:rPr>
        <w:t>评审因素和评审标准</w:t>
      </w:r>
      <w:r>
        <w:rPr>
          <w:rFonts w:hint="eastAsia"/>
          <w:color w:val="000000" w:themeColor="text1"/>
          <w:highlight w:val="none"/>
          <w14:textFill>
            <w14:solidFill>
              <w14:schemeClr w14:val="tx1"/>
            </w14:solidFill>
          </w14:textFill>
        </w:rPr>
        <w:t>详见</w:t>
      </w:r>
      <w:r>
        <w:rPr>
          <w:rFonts w:hint="eastAsia"/>
          <w:color w:val="000000" w:themeColor="text1"/>
          <w:highlight w:val="none"/>
          <w:lang w:val="en-US" w:eastAsia="zh-CN"/>
          <w14:textFill>
            <w14:solidFill>
              <w14:schemeClr w14:val="tx1"/>
            </w14:solidFill>
          </w14:textFill>
        </w:rPr>
        <w:t>招标</w:t>
      </w:r>
      <w:r>
        <w:rPr>
          <w:rFonts w:hint="eastAsia"/>
          <w:color w:val="000000" w:themeColor="text1"/>
          <w:highlight w:val="none"/>
          <w14:textFill>
            <w14:solidFill>
              <w14:schemeClr w14:val="tx1"/>
            </w14:solidFill>
          </w14:textFill>
        </w:rPr>
        <w:t>文件第三章。</w:t>
      </w:r>
    </w:p>
    <w:p w14:paraId="380B449F">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23.确定中标人</w:t>
      </w:r>
    </w:p>
    <w:p w14:paraId="6EAA2DD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p>
    <w:p w14:paraId="20339362">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23.2 按以下第（</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）种方式确定中标人</w:t>
      </w:r>
    </w:p>
    <w:p w14:paraId="0C03E520">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（1）采购人</w:t>
      </w:r>
      <w:r>
        <w:rPr>
          <w:rFonts w:hint="eastAsia"/>
          <w:color w:val="000000" w:themeColor="text1"/>
          <w:highlight w:val="none"/>
          <w:lang w:val="en-US" w:eastAsia="zh-CN"/>
          <w14:textFill>
            <w14:solidFill>
              <w14:schemeClr w14:val="tx1"/>
            </w14:solidFill>
          </w14:textFill>
        </w:rPr>
        <w:t>授权</w:t>
      </w:r>
      <w:r>
        <w:rPr>
          <w:rFonts w:hint="eastAsia"/>
          <w:color w:val="000000" w:themeColor="text1"/>
          <w:highlight w:val="none"/>
          <w14:textFill>
            <w14:solidFill>
              <w14:schemeClr w14:val="tx1"/>
            </w14:solidFill>
          </w14:textFill>
        </w:rPr>
        <w:t>评标委员会直接确定排名第一的中标候选人为中标人</w:t>
      </w:r>
      <w:r>
        <w:rPr>
          <w:rFonts w:hint="eastAsia"/>
          <w:color w:val="000000" w:themeColor="text1"/>
          <w:highlight w:val="none"/>
          <w:lang w:eastAsia="zh-CN"/>
          <w14:textFill>
            <w14:solidFill>
              <w14:schemeClr w14:val="tx1"/>
            </w14:solidFill>
          </w14:textFill>
        </w:rPr>
        <w:t>。</w:t>
      </w:r>
    </w:p>
    <w:p w14:paraId="191EF32C">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（2）采购人在评标委员会推荐的中标候选人中按顺序确定中标人。</w:t>
      </w:r>
    </w:p>
    <w:p w14:paraId="061C589C">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按第</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种方式确定中标人的，代理机构自评审结束之日起</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个工作日内将评审报告送交采购人，采购人应当自收到评审报告之日起</w:t>
      </w: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个工作日内在评审报告推荐的中标候选人中按顺序确定中标人。</w:t>
      </w:r>
    </w:p>
    <w:p w14:paraId="2A9E52E4">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中标候选人并列的，由采购人或者采购人委托评标委员会按照技术指标优劣的方式确定中标人，技术指标优劣</w:t>
      </w:r>
      <w:r>
        <w:rPr>
          <w:rFonts w:hint="eastAsia"/>
          <w:color w:val="000000" w:themeColor="text1"/>
          <w:highlight w:val="none"/>
          <w:lang w:val="en-US" w:eastAsia="zh-CN"/>
          <w14:textFill>
            <w14:solidFill>
              <w14:schemeClr w14:val="tx1"/>
            </w14:solidFill>
          </w14:textFill>
        </w:rPr>
        <w:t>相同的，</w:t>
      </w:r>
      <w:r>
        <w:rPr>
          <w:rFonts w:hint="eastAsia"/>
          <w:color w:val="000000" w:themeColor="text1"/>
          <w:highlight w:val="none"/>
          <w14:textFill>
            <w14:solidFill>
              <w14:schemeClr w14:val="tx1"/>
            </w14:solidFill>
          </w14:textFill>
        </w:rPr>
        <w:t>采取随机抽取的方式确定。</w:t>
      </w:r>
    </w:p>
    <w:p w14:paraId="715E2A87">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23.3 中标人确定之日起</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个工作日内，将在财政部门指定的政府采购信息发布媒体上公告</w:t>
      </w:r>
      <w:r>
        <w:rPr>
          <w:rFonts w:hint="eastAsia"/>
          <w:color w:val="000000" w:themeColor="text1"/>
          <w:highlight w:val="none"/>
          <w:lang w:eastAsia="zh-CN"/>
          <w14:textFill>
            <w14:solidFill>
              <w14:schemeClr w14:val="tx1"/>
            </w14:solidFill>
          </w14:textFill>
        </w:rPr>
        <w:t>，在公告中标结果的同时，采购人或者采购代理机构应当向中标人发出《中标通知书》</w:t>
      </w:r>
      <w:r>
        <w:rPr>
          <w:rFonts w:hint="eastAsia"/>
          <w:color w:val="000000" w:themeColor="text1"/>
          <w:highlight w:val="none"/>
          <w14:textFill>
            <w14:solidFill>
              <w14:schemeClr w14:val="tx1"/>
            </w14:solidFill>
          </w14:textFill>
        </w:rPr>
        <w:t>。</w:t>
      </w:r>
    </w:p>
    <w:p w14:paraId="1469C9B8">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23.4 《中标通知书》对采购人和中标人具有同等法律效力。</w:t>
      </w:r>
    </w:p>
    <w:p w14:paraId="24758214">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23.5 《中标通知书》发出后，中标人无正当理由不与采购人签订合同的，应当依法承担法律责任。</w:t>
      </w:r>
    </w:p>
    <w:p w14:paraId="4F31D920">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23.6 代理机构和评标委员会对未中标的投标人不作未中标原因的解释。</w:t>
      </w:r>
    </w:p>
    <w:p w14:paraId="30760EA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23.7 所有投标文件不论中标与否均不退回。</w:t>
      </w:r>
    </w:p>
    <w:p w14:paraId="77EE50B1">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24.编写评审报告</w:t>
      </w:r>
    </w:p>
    <w:p w14:paraId="19FC2467">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评标委员会根据全体评标成员签字的原始评标记录和评标结果编写评审报告。</w:t>
      </w:r>
    </w:p>
    <w:p w14:paraId="2525E336">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25.评标过程的保密与公正</w:t>
      </w:r>
    </w:p>
    <w:p w14:paraId="6737F2EA">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25.1 代理机构将采取必要措施，保证评标在严格保密的情况下进行。</w:t>
      </w:r>
    </w:p>
    <w:p w14:paraId="0814CF3A">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25.2 任何单位和个人不得非法干预、影响评标办法的确定，以及评标过程和结果。</w:t>
      </w:r>
    </w:p>
    <w:p w14:paraId="54685E12">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25.3 公开开标后，直至向中标人授予合同时止，凡是与审查、澄清、评价和比较投标的有关资料以及授标建议等，采购人、评委、采购代理机构均不得向投标人或与评标无关的其他人员透露。</w:t>
      </w:r>
    </w:p>
    <w:p w14:paraId="713CF3C0">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25.4 在评标过程中，投标人不得以任何行为影响评标过程，否则其投标文件将被作为无效投标文件。</w:t>
      </w:r>
    </w:p>
    <w:p w14:paraId="00065C9A">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25.5 采购代理机构和评标委员会不得向未中标的投标人解释未中标原因，也不公布评标过程中的相关细节。</w:t>
      </w:r>
    </w:p>
    <w:p w14:paraId="437A8564">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五、签订合同</w:t>
      </w:r>
    </w:p>
    <w:p w14:paraId="6F2C8F17">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26.签订合同</w:t>
      </w:r>
    </w:p>
    <w:p w14:paraId="701F2A55">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26.1 采购人应当自《中标通知书》发出之日起三十日内，按照招标文件和中标人投标文件与中标人签订书面合同。所签订的合同不得对招标文件确定事项和中标人投标文件作实质性修改。</w:t>
      </w:r>
    </w:p>
    <w:p w14:paraId="7998EF52">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26.2 采购人不得向中标人提出任何不合理的要求作为签订合同的条件，不得与中标人私下订立背离合同实质性内容的协议。</w:t>
      </w:r>
    </w:p>
    <w:p w14:paraId="6EB8BFAF">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p>
    <w:p w14:paraId="66462E4B">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26.4 采购合同履行中，采购人需追加与合同标的相同货物的，在不改变合同其他条款的前提下，可以与中标人协商签订补充合同，但所有补充合同的采购金额不得超过原合同采购金额的百分之十。</w:t>
      </w:r>
    </w:p>
    <w:p w14:paraId="091AF740">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六、询问、质疑、投诉和诚实信用</w:t>
      </w:r>
    </w:p>
    <w:p w14:paraId="390BB3B4">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27.询问</w:t>
      </w:r>
    </w:p>
    <w:p w14:paraId="36D58097">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27.1 投标人对招标活动事项有疑问的，可以向代理机构或采购人提出询问，代理机构或采购人将在两个工作日内作出答复，但答复的内容不涉及商业秘密。</w:t>
      </w:r>
    </w:p>
    <w:p w14:paraId="67CF5F53">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28.质疑</w:t>
      </w:r>
    </w:p>
    <w:p w14:paraId="2B58F12A">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28.1 投标人认为</w:t>
      </w:r>
      <w:r>
        <w:rPr>
          <w:rFonts w:hint="eastAsia"/>
          <w:color w:val="000000" w:themeColor="text1"/>
          <w:highlight w:val="none"/>
          <w:lang w:val="en-US" w:eastAsia="zh-CN"/>
          <w14:textFill>
            <w14:solidFill>
              <w14:schemeClr w14:val="tx1"/>
            </w14:solidFill>
          </w14:textFill>
        </w:rPr>
        <w:t>招标</w:t>
      </w:r>
      <w:r>
        <w:rPr>
          <w:rFonts w:hint="eastAsia"/>
          <w:color w:val="000000" w:themeColor="text1"/>
          <w:highlight w:val="none"/>
          <w14:textFill>
            <w14:solidFill>
              <w14:schemeClr w14:val="tx1"/>
            </w14:solidFill>
          </w14:textFill>
        </w:rPr>
        <w:t>文件、采购过程和中标结果使自己的合法权益受到损害的，可以在知道或者应当知道其权益受到损害之日起七个工作日内，将质疑文件原件以书面形式送达代理机构。</w:t>
      </w:r>
    </w:p>
    <w:p w14:paraId="47137A73">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w:t>
      </w:r>
      <w:r>
        <w:rPr>
          <w:rFonts w:hint="eastAsia"/>
          <w:color w:val="000000" w:themeColor="text1"/>
          <w:highlight w:val="none"/>
          <w:lang w:eastAsia="zh-CN"/>
          <w14:textFill>
            <w14:solidFill>
              <w14:schemeClr w14:val="tx1"/>
            </w14:solidFill>
          </w14:textFill>
        </w:rPr>
        <w:t>质疑供应商</w:t>
      </w:r>
      <w:r>
        <w:rPr>
          <w:rFonts w:hint="eastAsia"/>
          <w:color w:val="000000" w:themeColor="text1"/>
          <w:highlight w:val="none"/>
          <w14:textFill>
            <w14:solidFill>
              <w14:schemeClr w14:val="tx1"/>
            </w14:solidFill>
          </w14:textFill>
        </w:rPr>
        <w:t>的质疑行为应符合财政部94号令相关规定，未参加采购活动的投标人或在采购活动中自身权益未受到损害的投标人所提出的质疑不予受理。</w:t>
      </w:r>
    </w:p>
    <w:p w14:paraId="76228B77">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28.3 上述应知其权益受到损害之日是指：</w:t>
      </w:r>
    </w:p>
    <w:p w14:paraId="47E9676D">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（1）对招标文件提出质疑的，为获取招标文件之日或招标文件公告期限届满之日起计算；</w:t>
      </w:r>
    </w:p>
    <w:p w14:paraId="64F84BBA">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（2）对招标过程提出质疑的，自招标程序环节结束之日起计算；</w:t>
      </w:r>
    </w:p>
    <w:p w14:paraId="56467EFE">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（3）对中标结果提出质疑的，自中标结果公告期限届满之日起计算。</w:t>
      </w:r>
    </w:p>
    <w:p w14:paraId="65C4CE1D">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w:t>
      </w:r>
      <w:r>
        <w:rPr>
          <w:rFonts w:hint="eastAsia"/>
          <w:color w:val="000000" w:themeColor="text1"/>
          <w:highlight w:val="none"/>
          <w:lang w:eastAsia="zh-CN"/>
          <w14:textFill>
            <w14:solidFill>
              <w14:schemeClr w14:val="tx1"/>
            </w14:solidFill>
          </w14:textFill>
        </w:rPr>
        <w:t>质疑供应商</w:t>
      </w:r>
      <w:r>
        <w:rPr>
          <w:rFonts w:hint="eastAsia"/>
          <w:color w:val="000000" w:themeColor="text1"/>
          <w:highlight w:val="none"/>
          <w14:textFill>
            <w14:solidFill>
              <w14:schemeClr w14:val="tx1"/>
            </w14:solidFill>
          </w14:textFill>
        </w:rPr>
        <w:t>在法定质疑期内应当一次性提出针对同一招标环节的质疑事项。</w:t>
      </w:r>
      <w:r>
        <w:rPr>
          <w:rFonts w:hint="eastAsia" w:ascii="宋体" w:hAnsi="宋体" w:eastAsia="宋体" w:cs="Times New Roman"/>
          <w:color w:val="000000" w:themeColor="text1"/>
          <w:sz w:val="24"/>
          <w:highlight w:val="none"/>
          <w:lang w:val="en-US" w:eastAsia="zh-CN"/>
          <w14:textFill>
            <w14:solidFill>
              <w14:schemeClr w14:val="tx1"/>
            </w14:solidFill>
          </w14:textFill>
        </w:rPr>
        <w:t>质疑供应商</w:t>
      </w:r>
      <w:r>
        <w:rPr>
          <w:rFonts w:hint="eastAsia" w:ascii="宋体" w:hAnsi="宋体" w:eastAsia="宋体" w:cs="Times New Roman"/>
          <w:color w:val="000000" w:themeColor="text1"/>
          <w:sz w:val="24"/>
          <w:highlight w:val="none"/>
          <w:lang w:val="zh-CN"/>
          <w14:textFill>
            <w14:solidFill>
              <w14:schemeClr w14:val="tx1"/>
            </w14:solidFill>
          </w14:textFill>
        </w:rPr>
        <w:t>如在法定期限内对同一采购程序环节提出多次质疑的，</w:t>
      </w:r>
      <w:r>
        <w:rPr>
          <w:rFonts w:hint="eastAsia" w:ascii="宋体" w:hAnsi="宋体" w:eastAsia="宋体" w:cs="Times New Roman"/>
          <w:color w:val="000000" w:themeColor="text1"/>
          <w:sz w:val="24"/>
          <w:highlight w:val="none"/>
          <w:lang w:val="en-US" w:eastAsia="zh-CN"/>
          <w14:textFill>
            <w14:solidFill>
              <w14:schemeClr w14:val="tx1"/>
            </w14:solidFill>
          </w14:textFill>
        </w:rPr>
        <w:t>采购代理机构或采购人</w:t>
      </w:r>
      <w:r>
        <w:rPr>
          <w:rFonts w:hint="eastAsia" w:ascii="宋体" w:hAnsi="宋体" w:eastAsia="宋体" w:cs="Times New Roman"/>
          <w:color w:val="000000" w:themeColor="text1"/>
          <w:sz w:val="24"/>
          <w:highlight w:val="none"/>
          <w:lang w:val="zh-CN"/>
          <w14:textFill>
            <w14:solidFill>
              <w14:schemeClr w14:val="tx1"/>
            </w14:solidFill>
          </w14:textFill>
        </w:rPr>
        <w:t>将只对</w:t>
      </w:r>
      <w:r>
        <w:rPr>
          <w:rFonts w:hint="eastAsia" w:ascii="宋体" w:hAnsi="宋体" w:eastAsia="宋体" w:cs="Times New Roman"/>
          <w:color w:val="000000" w:themeColor="text1"/>
          <w:sz w:val="24"/>
          <w:highlight w:val="none"/>
          <w:lang w:val="en-US" w:eastAsia="zh-CN"/>
          <w14:textFill>
            <w14:solidFill>
              <w14:schemeClr w14:val="tx1"/>
            </w14:solidFill>
          </w14:textFill>
        </w:rPr>
        <w:t>质疑供应商</w:t>
      </w:r>
      <w:r>
        <w:rPr>
          <w:rFonts w:hint="eastAsia" w:ascii="宋体" w:hAnsi="宋体" w:eastAsia="宋体" w:cs="Times New Roman"/>
          <w:color w:val="000000" w:themeColor="text1"/>
          <w:sz w:val="24"/>
          <w:highlight w:val="none"/>
          <w:lang w:val="zh-CN"/>
          <w14:textFill>
            <w14:solidFill>
              <w14:schemeClr w14:val="tx1"/>
            </w14:solidFill>
          </w14:textFill>
        </w:rPr>
        <w:t>第一次质疑作出答复。</w:t>
      </w:r>
    </w:p>
    <w:p w14:paraId="4D6F4524">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28.5 代理机构在收到投标人的质疑后将及时组织调查核实，在七个工作日内作出答复，答复的内容不涉及商业秘密。</w:t>
      </w:r>
    </w:p>
    <w:p w14:paraId="62F00687">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28.6 代理机构遵循“谁过错谁负担”的原则，有过错的一方承担调查论证费用。</w:t>
      </w:r>
    </w:p>
    <w:p w14:paraId="39CE428A">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29.投诉</w:t>
      </w:r>
    </w:p>
    <w:p w14:paraId="4489746E">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w:t>
      </w:r>
      <w:r>
        <w:rPr>
          <w:rFonts w:hint="eastAsia"/>
          <w:color w:val="000000" w:themeColor="text1"/>
          <w:highlight w:val="none"/>
          <w:lang w:eastAsia="zh-CN"/>
          <w14:textFill>
            <w14:solidFill>
              <w14:schemeClr w14:val="tx1"/>
            </w14:solidFill>
          </w14:textFill>
        </w:rPr>
        <w:t>质疑供应商</w:t>
      </w:r>
      <w:r>
        <w:rPr>
          <w:rFonts w:hint="eastAsia"/>
          <w:color w:val="000000" w:themeColor="text1"/>
          <w:highlight w:val="none"/>
          <w14:textFill>
            <w14:solidFill>
              <w14:schemeClr w14:val="tx1"/>
            </w14:solidFill>
          </w14:textFill>
        </w:rPr>
        <w:t>对代理机构的答复不满意，或代理机构未在规定的时间内作出答复的，可以在答复期满后十五个工作日内向采购项目同级财政部门投诉。</w:t>
      </w:r>
    </w:p>
    <w:p w14:paraId="0E3FDCEF">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30.诚实信用</w:t>
      </w:r>
    </w:p>
    <w:p w14:paraId="43FEC064">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30.1 投标人之间不得相互串通投标报价，不得妨碍其他投标人的公平竞争，不得损害采购人和其他投标人的合法权益。</w:t>
      </w:r>
    </w:p>
    <w:p w14:paraId="0F4C0F6C">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p>
    <w:p w14:paraId="0FB74C28">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p>
    <w:p w14:paraId="311154FB">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30.4 投标人不得虚假承诺，否则，按照提供虚假材料谋取中标处理。</w:t>
      </w:r>
    </w:p>
    <w:p w14:paraId="10596B53">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30.5 投标人应自觉遵守开标、评标纪律，扰乱开标评标现场秩序的，属于失信行为，</w:t>
      </w:r>
      <w:r>
        <w:rPr>
          <w:rFonts w:hint="eastAsia"/>
          <w:color w:val="000000" w:themeColor="text1"/>
          <w:highlight w:val="none"/>
          <w:lang w:val="en-US" w:eastAsia="zh-CN"/>
          <w14:textFill>
            <w14:solidFill>
              <w14:schemeClr w14:val="tx1"/>
            </w14:solidFill>
          </w14:textFill>
        </w:rPr>
        <w:t>采购人或采购代理机构有权上报相关部门，并由相关部门按有关规定进行处理</w:t>
      </w:r>
      <w:r>
        <w:rPr>
          <w:rFonts w:hint="eastAsia"/>
          <w:color w:val="000000" w:themeColor="text1"/>
          <w:highlight w:val="none"/>
          <w14:textFill>
            <w14:solidFill>
              <w14:schemeClr w14:val="tx1"/>
            </w14:solidFill>
          </w14:textFill>
        </w:rPr>
        <w:t>。</w:t>
      </w:r>
    </w:p>
    <w:p w14:paraId="2C3A6EDB">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p>
    <w:p w14:paraId="678F0B59">
      <w:pPr>
        <w:pStyle w:val="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评标方法与评标标准</w:t>
      </w:r>
    </w:p>
    <w:p w14:paraId="235AC32A">
      <w:pPr>
        <w:pStyle w:val="4"/>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一</w:t>
      </w:r>
      <w:r>
        <w:rPr>
          <w:rFonts w:hint="eastAsia"/>
          <w:color w:val="000000" w:themeColor="text1"/>
          <w:highlight w:val="none"/>
          <w14:textFill>
            <w14:solidFill>
              <w14:schemeClr w14:val="tx1"/>
            </w14:solidFill>
          </w14:textFill>
        </w:rPr>
        <w:t>、评标方法与定标原则</w:t>
      </w:r>
    </w:p>
    <w:p w14:paraId="5A4D2738">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1.评标方法：</w:t>
      </w:r>
    </w:p>
    <w:p w14:paraId="31BFF38A">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评委会将对确定为实质性响应招标文件要求的投标文件进行评价和比较，评标采用综合评分法。</w:t>
      </w:r>
    </w:p>
    <w:p w14:paraId="6655D22B">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p>
    <w:p w14:paraId="75254330">
      <w:pPr>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2.定标原则：</w:t>
      </w:r>
    </w:p>
    <w:p w14:paraId="2CB678EA">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采购人在评标委员会推荐的中标候选人中按顺序确定中标人。中标候选人并列的，由采购人按照技术指标优劣的方式确定中标人，技术指标优劣相同的，采取随机抽取的方式确定。</w:t>
      </w:r>
    </w:p>
    <w:p w14:paraId="2F7C3958">
      <w:pPr>
        <w:pStyle w:val="4"/>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二</w:t>
      </w:r>
      <w:r>
        <w:rPr>
          <w:rFonts w:hint="eastAsia"/>
          <w:color w:val="000000" w:themeColor="text1"/>
          <w:highlight w:val="none"/>
          <w14:textFill>
            <w14:solidFill>
              <w14:schemeClr w14:val="tx1"/>
            </w14:solidFill>
          </w14:textFill>
        </w:rPr>
        <w:t>、综合评分标准</w:t>
      </w:r>
    </w:p>
    <w:p w14:paraId="62DC3E2F">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评标委员会将按下列评分具体办法和标准进行打分，总分值为100分。</w:t>
      </w:r>
      <w:r>
        <w:rPr>
          <w:rFonts w:hint="eastAsia"/>
          <w:color w:val="000000" w:themeColor="text1"/>
          <w:highlight w:val="none"/>
          <w:lang w:val="en-US" w:eastAsia="zh-CN"/>
          <w14:textFill>
            <w14:solidFill>
              <w14:schemeClr w14:val="tx1"/>
            </w14:solidFill>
          </w14:textFill>
        </w:rPr>
        <w:t>具体评分因素及评分明细如下：</w:t>
      </w:r>
    </w:p>
    <w:tbl>
      <w:tblPr>
        <w:tblStyle w:val="3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7"/>
        <w:gridCol w:w="7616"/>
        <w:gridCol w:w="661"/>
      </w:tblGrid>
      <w:tr w14:paraId="263B5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42" w:type="pct"/>
            <w:tcBorders>
              <w:top w:val="single" w:color="auto" w:sz="4" w:space="0"/>
              <w:left w:val="single" w:color="auto" w:sz="4" w:space="0"/>
              <w:bottom w:val="single" w:color="auto" w:sz="4" w:space="0"/>
              <w:right w:val="single" w:color="auto" w:sz="4" w:space="0"/>
            </w:tcBorders>
            <w:noWrap w:val="0"/>
            <w:vAlign w:val="center"/>
          </w:tcPr>
          <w:p w14:paraId="62DCDD81">
            <w:pPr>
              <w:keepNext w:val="0"/>
              <w:keepLines w:val="0"/>
              <w:pageBreakBefore w:val="0"/>
              <w:spacing w:line="240" w:lineRule="auto"/>
              <w:ind w:firstLine="0"/>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项目</w:t>
            </w:r>
          </w:p>
        </w:tc>
        <w:tc>
          <w:tcPr>
            <w:tcW w:w="4100" w:type="pct"/>
            <w:tcBorders>
              <w:top w:val="single" w:color="auto" w:sz="4" w:space="0"/>
              <w:left w:val="single" w:color="auto" w:sz="4" w:space="0"/>
              <w:bottom w:val="single" w:color="auto" w:sz="4" w:space="0"/>
              <w:right w:val="single" w:color="auto" w:sz="4" w:space="0"/>
            </w:tcBorders>
            <w:noWrap w:val="0"/>
            <w:vAlign w:val="center"/>
          </w:tcPr>
          <w:p w14:paraId="09A55E3D">
            <w:pPr>
              <w:keepNext w:val="0"/>
              <w:keepLines w:val="0"/>
              <w:pageBreakBefore w:val="0"/>
              <w:spacing w:line="240" w:lineRule="auto"/>
              <w:ind w:firstLine="0"/>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评标细则</w:t>
            </w:r>
          </w:p>
        </w:tc>
        <w:tc>
          <w:tcPr>
            <w:tcW w:w="356" w:type="pct"/>
            <w:tcBorders>
              <w:top w:val="single" w:color="auto" w:sz="4" w:space="0"/>
              <w:left w:val="single" w:color="auto" w:sz="4" w:space="0"/>
              <w:bottom w:val="single" w:color="auto" w:sz="4" w:space="0"/>
              <w:right w:val="single" w:color="auto" w:sz="4" w:space="0"/>
            </w:tcBorders>
            <w:noWrap w:val="0"/>
            <w:vAlign w:val="center"/>
          </w:tcPr>
          <w:p w14:paraId="1EEF5BB4">
            <w:pPr>
              <w:keepNext w:val="0"/>
              <w:keepLines w:val="0"/>
              <w:pageBreakBefore w:val="0"/>
              <w:spacing w:line="240" w:lineRule="auto"/>
              <w:ind w:firstLine="0"/>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分值</w:t>
            </w:r>
          </w:p>
        </w:tc>
      </w:tr>
      <w:tr w14:paraId="6F165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42" w:type="pct"/>
            <w:tcBorders>
              <w:top w:val="single" w:color="auto" w:sz="4" w:space="0"/>
              <w:left w:val="single" w:color="auto" w:sz="4" w:space="0"/>
              <w:bottom w:val="single" w:color="auto" w:sz="4" w:space="0"/>
              <w:right w:val="single" w:color="auto" w:sz="4" w:space="0"/>
            </w:tcBorders>
            <w:noWrap w:val="0"/>
            <w:vAlign w:val="center"/>
          </w:tcPr>
          <w:p w14:paraId="039ED155">
            <w:pPr>
              <w:keepNext w:val="0"/>
              <w:keepLines w:val="0"/>
              <w:pageBreakBefore w:val="0"/>
              <w:spacing w:line="240" w:lineRule="auto"/>
              <w:ind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color w:val="000000" w:themeColor="text1"/>
                <w:sz w:val="24"/>
                <w:szCs w:val="24"/>
                <w:highlight w:val="none"/>
                <w14:textFill>
                  <w14:solidFill>
                    <w14:schemeClr w14:val="tx1"/>
                  </w14:solidFill>
                </w14:textFill>
              </w:rPr>
              <w:t>价格分</w:t>
            </w:r>
          </w:p>
          <w:p w14:paraId="2982C14A">
            <w:pPr>
              <w:keepNext w:val="0"/>
              <w:keepLines w:val="0"/>
              <w:pageBreakBefore w:val="0"/>
              <w:spacing w:line="240" w:lineRule="auto"/>
              <w:ind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0分）</w:t>
            </w:r>
          </w:p>
        </w:tc>
        <w:tc>
          <w:tcPr>
            <w:tcW w:w="4100" w:type="pct"/>
            <w:tcBorders>
              <w:top w:val="single" w:color="auto" w:sz="4" w:space="0"/>
              <w:left w:val="single" w:color="auto" w:sz="4" w:space="0"/>
              <w:bottom w:val="single" w:color="auto" w:sz="4" w:space="0"/>
              <w:right w:val="single" w:color="auto" w:sz="4" w:space="0"/>
            </w:tcBorders>
            <w:noWrap w:val="0"/>
            <w:vAlign w:val="center"/>
          </w:tcPr>
          <w:p w14:paraId="08AA2243">
            <w:pPr>
              <w:keepNext w:val="0"/>
              <w:keepLines w:val="0"/>
              <w:pageBreakBefore w:val="0"/>
              <w:spacing w:line="240" w:lineRule="auto"/>
              <w:ind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r>
              <w:rPr>
                <w:rFonts w:hint="eastAsia" w:ascii="宋体" w:hAnsi="宋体" w:eastAsia="宋体" w:cs="宋体"/>
                <w:bCs/>
                <w:color w:val="000000" w:themeColor="text1"/>
                <w:sz w:val="24"/>
                <w:szCs w:val="24"/>
                <w:highlight w:val="none"/>
                <w14:textFill>
                  <w14:solidFill>
                    <w14:schemeClr w14:val="tx1"/>
                  </w14:solidFill>
                </w14:textFill>
              </w:rPr>
              <w:t>价格分采用低价优先法计算，即满足招标文件要求且投标价格最低的投标报价为评标基准价，其价格分为满分</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40分</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。其他投标人的价格分统一按照下列公式计算：投标报价得分=(评标基准价／投标报价)×</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0分。分值保留小数点后2位。</w:t>
            </w:r>
          </w:p>
        </w:tc>
        <w:tc>
          <w:tcPr>
            <w:tcW w:w="356" w:type="pct"/>
            <w:tcBorders>
              <w:top w:val="single" w:color="auto" w:sz="4" w:space="0"/>
              <w:left w:val="single" w:color="auto" w:sz="4" w:space="0"/>
              <w:bottom w:val="single" w:color="auto" w:sz="4" w:space="0"/>
              <w:right w:val="single" w:color="auto" w:sz="4" w:space="0"/>
            </w:tcBorders>
            <w:noWrap w:val="0"/>
            <w:vAlign w:val="center"/>
          </w:tcPr>
          <w:p w14:paraId="041D8888">
            <w:pPr>
              <w:keepNext w:val="0"/>
              <w:keepLines w:val="0"/>
              <w:pageBreakBefore w:val="0"/>
              <w:spacing w:line="240" w:lineRule="auto"/>
              <w:ind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0分</w:t>
            </w:r>
          </w:p>
        </w:tc>
      </w:tr>
      <w:tr w14:paraId="74CD5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42" w:type="pct"/>
            <w:vMerge w:val="restart"/>
            <w:tcBorders>
              <w:top w:val="single" w:color="auto" w:sz="4" w:space="0"/>
              <w:left w:val="single" w:color="auto" w:sz="4" w:space="0"/>
              <w:bottom w:val="single" w:color="auto" w:sz="4" w:space="0"/>
              <w:right w:val="single" w:color="auto" w:sz="4" w:space="0"/>
            </w:tcBorders>
            <w:noWrap w:val="0"/>
            <w:vAlign w:val="center"/>
          </w:tcPr>
          <w:p w14:paraId="7E0B2AF8">
            <w:pPr>
              <w:keepNext w:val="0"/>
              <w:keepLines w:val="0"/>
              <w:pageBreakBefore w:val="0"/>
              <w:numPr>
                <w:ilvl w:val="0"/>
                <w:numId w:val="2"/>
              </w:numPr>
              <w:spacing w:line="240" w:lineRule="auto"/>
              <w:ind w:firstLine="0"/>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施工组织设计</w:t>
            </w:r>
          </w:p>
          <w:p w14:paraId="4530F6A3">
            <w:pPr>
              <w:keepNext w:val="0"/>
              <w:keepLines w:val="0"/>
              <w:pageBreakBefore w:val="0"/>
              <w:numPr>
                <w:ilvl w:val="0"/>
                <w:numId w:val="0"/>
              </w:numPr>
              <w:spacing w:line="24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lang w:val="en-US" w:eastAsia="zh-CN"/>
                <w14:textFill>
                  <w14:solidFill>
                    <w14:schemeClr w14:val="tx1"/>
                  </w14:solidFill>
                </w14:textFill>
              </w:rPr>
              <w:t>39</w:t>
            </w:r>
            <w:r>
              <w:rPr>
                <w:rFonts w:hint="eastAsia" w:ascii="宋体" w:hAnsi="宋体" w:eastAsia="宋体" w:cs="宋体"/>
                <w:bCs/>
                <w:color w:val="000000" w:themeColor="text1"/>
                <w:sz w:val="24"/>
                <w:szCs w:val="24"/>
                <w:highlight w:val="none"/>
                <w14:textFill>
                  <w14:solidFill>
                    <w14:schemeClr w14:val="tx1"/>
                  </w14:solidFill>
                </w14:textFill>
              </w:rPr>
              <w:t>分）</w:t>
            </w:r>
          </w:p>
        </w:tc>
        <w:tc>
          <w:tcPr>
            <w:tcW w:w="4100" w:type="pct"/>
            <w:tcBorders>
              <w:top w:val="single" w:color="auto" w:sz="4" w:space="0"/>
              <w:left w:val="single" w:color="auto" w:sz="4" w:space="0"/>
              <w:bottom w:val="single" w:color="auto" w:sz="4" w:space="0"/>
              <w:right w:val="single" w:color="auto" w:sz="4" w:space="0"/>
            </w:tcBorders>
            <w:noWrap w:val="0"/>
            <w:vAlign w:val="center"/>
          </w:tcPr>
          <w:p w14:paraId="6079C0BF">
            <w:pPr>
              <w:keepNext w:val="0"/>
              <w:keepLines w:val="0"/>
              <w:pageBreakBefore w:val="0"/>
              <w:spacing w:line="240" w:lineRule="auto"/>
              <w:ind w:firstLine="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2.1施工总体方案</w:t>
            </w:r>
          </w:p>
          <w:p w14:paraId="5E1761CA">
            <w:pPr>
              <w:keepNext w:val="0"/>
              <w:keepLines w:val="0"/>
              <w:pageBreakBefore w:val="0"/>
              <w:spacing w:line="240" w:lineRule="auto"/>
              <w:ind w:firstLine="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根据投标人提供的总体设想、方案针对性及施工段划分表述的清晰性、全面性、合理性、科学性、可行性及针对性等进行评价。描述的准确、全面可行且针对性强的得8分；描述的基本准确、较为全面可行且针对性较强的得5分；描述较为明确、基本可行且针对性一般的的得</w:t>
            </w:r>
            <w:r>
              <w:rPr>
                <w:rFonts w:hint="eastAsia" w:ascii="宋体" w:hAnsi="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分；无则不得分。</w:t>
            </w:r>
          </w:p>
        </w:tc>
        <w:tc>
          <w:tcPr>
            <w:tcW w:w="356" w:type="pct"/>
            <w:tcBorders>
              <w:top w:val="single" w:color="auto" w:sz="4" w:space="0"/>
              <w:left w:val="single" w:color="auto" w:sz="4" w:space="0"/>
              <w:bottom w:val="single" w:color="auto" w:sz="4" w:space="0"/>
              <w:right w:val="single" w:color="auto" w:sz="4" w:space="0"/>
            </w:tcBorders>
            <w:noWrap w:val="0"/>
            <w:vAlign w:val="center"/>
          </w:tcPr>
          <w:p w14:paraId="3E95C31E">
            <w:pPr>
              <w:keepNext w:val="0"/>
              <w:keepLines w:val="0"/>
              <w:pageBreakBefore w:val="0"/>
              <w:widowControl/>
              <w:spacing w:line="240" w:lineRule="auto"/>
              <w:ind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8分</w:t>
            </w:r>
          </w:p>
        </w:tc>
      </w:tr>
      <w:tr w14:paraId="61EAD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42" w:type="pct"/>
            <w:vMerge w:val="continue"/>
            <w:tcBorders>
              <w:top w:val="single" w:color="auto" w:sz="4" w:space="0"/>
              <w:left w:val="single" w:color="auto" w:sz="4" w:space="0"/>
              <w:bottom w:val="single" w:color="auto" w:sz="4" w:space="0"/>
              <w:right w:val="single" w:color="auto" w:sz="4" w:space="0"/>
            </w:tcBorders>
            <w:noWrap w:val="0"/>
            <w:vAlign w:val="center"/>
          </w:tcPr>
          <w:p w14:paraId="39F101E7">
            <w:pPr>
              <w:keepNext w:val="0"/>
              <w:keepLines w:val="0"/>
              <w:pageBreakBefore w:val="0"/>
              <w:spacing w:line="240" w:lineRule="auto"/>
              <w:ind w:firstLine="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4100" w:type="pct"/>
            <w:tcBorders>
              <w:top w:val="single" w:color="auto" w:sz="4" w:space="0"/>
              <w:left w:val="single" w:color="auto" w:sz="4" w:space="0"/>
              <w:bottom w:val="single" w:color="auto" w:sz="4" w:space="0"/>
              <w:right w:val="single" w:color="auto" w:sz="4" w:space="0"/>
            </w:tcBorders>
            <w:noWrap w:val="0"/>
            <w:vAlign w:val="center"/>
          </w:tcPr>
          <w:p w14:paraId="57B3D954">
            <w:pPr>
              <w:keepNext w:val="0"/>
              <w:keepLines w:val="0"/>
              <w:pageBreakBefore w:val="0"/>
              <w:spacing w:line="240" w:lineRule="auto"/>
              <w:ind w:firstLine="0"/>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2.2</w:t>
            </w:r>
            <w:r>
              <w:rPr>
                <w:rFonts w:hint="eastAsia"/>
                <w:color w:val="000000" w:themeColor="text1"/>
                <w:highlight w:val="none"/>
                <w14:textFill>
                  <w14:solidFill>
                    <w14:schemeClr w14:val="tx1"/>
                  </w14:solidFill>
                </w14:textFill>
              </w:rPr>
              <w:t>施工进度计划和各阶段进度计划及保证措施</w:t>
            </w:r>
          </w:p>
          <w:p w14:paraId="6FFF0899">
            <w:pPr>
              <w:keepNext w:val="0"/>
              <w:keepLines w:val="0"/>
              <w:pageBreakBefore w:val="0"/>
              <w:spacing w:line="240" w:lineRule="auto"/>
              <w:ind w:firstLine="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根据投标人提供的</w:t>
            </w:r>
            <w:r>
              <w:rPr>
                <w:rFonts w:hint="eastAsia"/>
                <w:color w:val="000000" w:themeColor="text1"/>
                <w:highlight w:val="none"/>
                <w14:textFill>
                  <w14:solidFill>
                    <w14:schemeClr w14:val="tx1"/>
                  </w14:solidFill>
                </w14:textFill>
              </w:rPr>
              <w:t>施工进度计划和各阶段进度计划及保证措施</w:t>
            </w:r>
            <w:r>
              <w:rPr>
                <w:rFonts w:hint="eastAsia" w:ascii="宋体" w:hAnsi="宋体" w:eastAsia="宋体" w:cs="宋体"/>
                <w:bCs/>
                <w:color w:val="000000" w:themeColor="text1"/>
                <w:sz w:val="24"/>
                <w:szCs w:val="24"/>
                <w:highlight w:val="none"/>
                <w14:textFill>
                  <w14:solidFill>
                    <w14:schemeClr w14:val="tx1"/>
                  </w14:solidFill>
                </w14:textFill>
              </w:rPr>
              <w:t>表述的清晰性、全面性、合理性、科学性、可行性及针对性等进行评价。描述的准确、全面可行且针对性强的得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Cs/>
                <w:color w:val="000000" w:themeColor="text1"/>
                <w:sz w:val="24"/>
                <w:szCs w:val="24"/>
                <w:highlight w:val="none"/>
                <w14:textFill>
                  <w14:solidFill>
                    <w14:schemeClr w14:val="tx1"/>
                  </w14:solidFill>
                </w14:textFill>
              </w:rPr>
              <w:t>分；描述的基本准确、较为全面可行且针对性较强的得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分；描述较为明确、基本可行且针对性一般的的得</w:t>
            </w:r>
            <w:r>
              <w:rPr>
                <w:rFonts w:hint="eastAsia" w:ascii="宋体" w:hAnsi="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分；无则不得分。</w:t>
            </w:r>
          </w:p>
        </w:tc>
        <w:tc>
          <w:tcPr>
            <w:tcW w:w="356" w:type="pct"/>
            <w:tcBorders>
              <w:top w:val="single" w:color="auto" w:sz="4" w:space="0"/>
              <w:left w:val="single" w:color="auto" w:sz="4" w:space="0"/>
              <w:bottom w:val="single" w:color="auto" w:sz="4" w:space="0"/>
              <w:right w:val="single" w:color="auto" w:sz="4" w:space="0"/>
            </w:tcBorders>
            <w:noWrap w:val="0"/>
            <w:vAlign w:val="center"/>
          </w:tcPr>
          <w:p w14:paraId="0F0A8C31">
            <w:pPr>
              <w:keepNext w:val="0"/>
              <w:keepLines w:val="0"/>
              <w:pageBreakBefore w:val="0"/>
              <w:widowControl/>
              <w:spacing w:line="240" w:lineRule="auto"/>
              <w:ind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分</w:t>
            </w:r>
          </w:p>
        </w:tc>
      </w:tr>
      <w:tr w14:paraId="65B1E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42" w:type="pct"/>
            <w:vMerge w:val="continue"/>
            <w:tcBorders>
              <w:top w:val="single" w:color="auto" w:sz="4" w:space="0"/>
              <w:left w:val="single" w:color="auto" w:sz="4" w:space="0"/>
              <w:bottom w:val="single" w:color="auto" w:sz="4" w:space="0"/>
              <w:right w:val="single" w:color="auto" w:sz="4" w:space="0"/>
            </w:tcBorders>
            <w:noWrap w:val="0"/>
            <w:vAlign w:val="center"/>
          </w:tcPr>
          <w:p w14:paraId="1C058B46">
            <w:pPr>
              <w:keepNext w:val="0"/>
              <w:keepLines w:val="0"/>
              <w:pageBreakBefore w:val="0"/>
              <w:spacing w:line="240" w:lineRule="auto"/>
              <w:ind w:firstLine="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4100" w:type="pct"/>
            <w:tcBorders>
              <w:top w:val="single" w:color="auto" w:sz="4" w:space="0"/>
              <w:left w:val="single" w:color="auto" w:sz="4" w:space="0"/>
              <w:bottom w:val="single" w:color="auto" w:sz="4" w:space="0"/>
              <w:right w:val="single" w:color="auto" w:sz="4" w:space="0"/>
            </w:tcBorders>
            <w:noWrap w:val="0"/>
            <w:vAlign w:val="center"/>
          </w:tcPr>
          <w:p w14:paraId="6034CEE8">
            <w:pPr>
              <w:pStyle w:val="13"/>
              <w:keepNext w:val="0"/>
              <w:keepLines w:val="0"/>
              <w:pageBreakBefore w:val="0"/>
              <w:spacing w:line="240" w:lineRule="auto"/>
              <w:ind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2.3分部分项工程的施工方案及质量保证</w:t>
            </w:r>
          </w:p>
          <w:p w14:paraId="669CFF08">
            <w:pPr>
              <w:keepNext w:val="0"/>
              <w:keepLines w:val="0"/>
              <w:pageBreakBefore w:val="0"/>
              <w:spacing w:line="240" w:lineRule="auto"/>
              <w:ind w:firstLine="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根据投标人提供的分部分项工程的施工方案及质量保证措施等进行评价。施工方案及质量保证措施可靠且针对性强的得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分；施工方案及质量保证措施合理且针对性一般的得</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分；施工方案及质量保证措施一般且针对性弱得</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分；无则不得分。</w:t>
            </w:r>
          </w:p>
        </w:tc>
        <w:tc>
          <w:tcPr>
            <w:tcW w:w="356" w:type="pct"/>
            <w:tcBorders>
              <w:top w:val="single" w:color="auto" w:sz="4" w:space="0"/>
              <w:left w:val="single" w:color="auto" w:sz="4" w:space="0"/>
              <w:bottom w:val="single" w:color="auto" w:sz="4" w:space="0"/>
              <w:right w:val="single" w:color="auto" w:sz="4" w:space="0"/>
            </w:tcBorders>
            <w:noWrap w:val="0"/>
            <w:vAlign w:val="center"/>
          </w:tcPr>
          <w:p w14:paraId="2646FB43">
            <w:pPr>
              <w:keepNext w:val="0"/>
              <w:keepLines w:val="0"/>
              <w:pageBreakBefore w:val="0"/>
              <w:widowControl/>
              <w:spacing w:line="240" w:lineRule="auto"/>
              <w:ind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tc>
      </w:tr>
      <w:tr w14:paraId="67666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42" w:type="pct"/>
            <w:vMerge w:val="continue"/>
            <w:tcBorders>
              <w:top w:val="single" w:color="auto" w:sz="4" w:space="0"/>
              <w:left w:val="single" w:color="auto" w:sz="4" w:space="0"/>
              <w:bottom w:val="single" w:color="auto" w:sz="4" w:space="0"/>
              <w:right w:val="single" w:color="auto" w:sz="4" w:space="0"/>
            </w:tcBorders>
            <w:noWrap w:val="0"/>
            <w:vAlign w:val="center"/>
          </w:tcPr>
          <w:p w14:paraId="7DE01721">
            <w:pPr>
              <w:keepNext w:val="0"/>
              <w:keepLines w:val="0"/>
              <w:pageBreakBefore w:val="0"/>
              <w:spacing w:line="240" w:lineRule="auto"/>
              <w:ind w:firstLine="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4100" w:type="pct"/>
            <w:tcBorders>
              <w:top w:val="single" w:color="auto" w:sz="4" w:space="0"/>
              <w:left w:val="single" w:color="auto" w:sz="4" w:space="0"/>
              <w:bottom w:val="single" w:color="auto" w:sz="4" w:space="0"/>
              <w:right w:val="single" w:color="auto" w:sz="4" w:space="0"/>
            </w:tcBorders>
            <w:noWrap w:val="0"/>
            <w:vAlign w:val="center"/>
          </w:tcPr>
          <w:p w14:paraId="09BC8EEC">
            <w:pPr>
              <w:keepNext w:val="0"/>
              <w:keepLines w:val="0"/>
              <w:pageBreakBefore w:val="0"/>
              <w:spacing w:line="240" w:lineRule="auto"/>
              <w:ind w:firstLine="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2.4施工安全及文明施工</w:t>
            </w:r>
          </w:p>
          <w:p w14:paraId="1DA50ED4">
            <w:pPr>
              <w:keepNext w:val="0"/>
              <w:keepLines w:val="0"/>
              <w:pageBreakBefore w:val="0"/>
              <w:spacing w:line="240" w:lineRule="auto"/>
              <w:ind w:firstLine="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根据投标人提供的针对本项目施工安全及文明施工采取措施的规范性、全面性、合理性、针对性、具体性、可靠性、及操作规程科学性，依据措施可行性、措施制度健全性等进行评价。措施制度健全优越的得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z w:val="24"/>
                <w:szCs w:val="24"/>
                <w:highlight w:val="none"/>
                <w14:textFill>
                  <w14:solidFill>
                    <w14:schemeClr w14:val="tx1"/>
                  </w14:solidFill>
                </w14:textFill>
              </w:rPr>
              <w:t>分；措施制度健全可行的得</w:t>
            </w:r>
            <w:r>
              <w:rPr>
                <w:rFonts w:hint="eastAsia" w:ascii="宋体" w:hAnsi="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分；措施制度健全一般的得</w:t>
            </w:r>
            <w:r>
              <w:rPr>
                <w:rFonts w:hint="eastAsia" w:ascii="宋体" w:hAnsi="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分，不提供则不得分。</w:t>
            </w:r>
          </w:p>
        </w:tc>
        <w:tc>
          <w:tcPr>
            <w:tcW w:w="356" w:type="pct"/>
            <w:tcBorders>
              <w:top w:val="single" w:color="auto" w:sz="4" w:space="0"/>
              <w:left w:val="single" w:color="auto" w:sz="4" w:space="0"/>
              <w:bottom w:val="single" w:color="auto" w:sz="4" w:space="0"/>
              <w:right w:val="single" w:color="auto" w:sz="4" w:space="0"/>
            </w:tcBorders>
            <w:noWrap w:val="0"/>
            <w:vAlign w:val="center"/>
          </w:tcPr>
          <w:p w14:paraId="4B1634C9">
            <w:pPr>
              <w:keepNext w:val="0"/>
              <w:keepLines w:val="0"/>
              <w:pageBreakBefore w:val="0"/>
              <w:widowControl/>
              <w:spacing w:line="240" w:lineRule="auto"/>
              <w:ind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tc>
      </w:tr>
      <w:tr w14:paraId="11032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42" w:type="pct"/>
            <w:vMerge w:val="continue"/>
            <w:tcBorders>
              <w:top w:val="single" w:color="auto" w:sz="4" w:space="0"/>
              <w:left w:val="single" w:color="auto" w:sz="4" w:space="0"/>
              <w:bottom w:val="single" w:color="auto" w:sz="4" w:space="0"/>
              <w:right w:val="single" w:color="auto" w:sz="4" w:space="0"/>
            </w:tcBorders>
            <w:noWrap w:val="0"/>
            <w:vAlign w:val="center"/>
          </w:tcPr>
          <w:p w14:paraId="654E7B46">
            <w:pPr>
              <w:keepNext w:val="0"/>
              <w:keepLines w:val="0"/>
              <w:pageBreakBefore w:val="0"/>
              <w:spacing w:line="240" w:lineRule="auto"/>
              <w:ind w:firstLine="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4100" w:type="pct"/>
            <w:tcBorders>
              <w:top w:val="single" w:color="auto" w:sz="4" w:space="0"/>
              <w:left w:val="single" w:color="auto" w:sz="4" w:space="0"/>
              <w:bottom w:val="single" w:color="auto" w:sz="4" w:space="0"/>
              <w:right w:val="single" w:color="auto" w:sz="4" w:space="0"/>
            </w:tcBorders>
            <w:noWrap w:val="0"/>
            <w:vAlign w:val="center"/>
          </w:tcPr>
          <w:p w14:paraId="58AD6736">
            <w:pPr>
              <w:keepNext w:val="0"/>
              <w:keepLines w:val="0"/>
              <w:pageBreakBefore w:val="0"/>
              <w:spacing w:line="240" w:lineRule="auto"/>
              <w:ind w:firstLine="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2.5项目实施的重点、难点分析和解决方案</w:t>
            </w:r>
          </w:p>
          <w:p w14:paraId="36E56A05">
            <w:pPr>
              <w:keepNext w:val="0"/>
              <w:keepLines w:val="0"/>
              <w:pageBreakBefore w:val="0"/>
              <w:spacing w:line="240" w:lineRule="auto"/>
              <w:ind w:firstLine="0"/>
              <w:rPr>
                <w:rFonts w:hint="eastAsia" w:ascii="宋体" w:hAnsi="宋体" w:eastAsia="宋体" w:cs="宋体"/>
                <w:bCs/>
                <w:strike/>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根据投标人提供的重难点分析和解决方案进行评价。重难点分析透彻、解决方案切实可行、针对性强的得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z w:val="24"/>
                <w:szCs w:val="24"/>
                <w:highlight w:val="none"/>
                <w14:textFill>
                  <w14:solidFill>
                    <w14:schemeClr w14:val="tx1"/>
                  </w14:solidFill>
                </w14:textFill>
              </w:rPr>
              <w:t>分，重难点分析合理、解决方案针对性一般的得</w:t>
            </w:r>
            <w:r>
              <w:rPr>
                <w:rFonts w:hint="eastAsia" w:ascii="宋体" w:hAnsi="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分，重难点分析基本合理、解决方案针对性较弱的得</w:t>
            </w:r>
            <w:r>
              <w:rPr>
                <w:rFonts w:hint="eastAsia" w:ascii="宋体" w:hAnsi="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分，不提供则不得分。</w:t>
            </w:r>
          </w:p>
        </w:tc>
        <w:tc>
          <w:tcPr>
            <w:tcW w:w="356" w:type="pct"/>
            <w:tcBorders>
              <w:top w:val="single" w:color="auto" w:sz="4" w:space="0"/>
              <w:left w:val="single" w:color="auto" w:sz="4" w:space="0"/>
              <w:bottom w:val="single" w:color="auto" w:sz="4" w:space="0"/>
              <w:right w:val="single" w:color="auto" w:sz="4" w:space="0"/>
            </w:tcBorders>
            <w:noWrap w:val="0"/>
            <w:vAlign w:val="center"/>
          </w:tcPr>
          <w:p w14:paraId="5E0236AE">
            <w:pPr>
              <w:keepNext w:val="0"/>
              <w:keepLines w:val="0"/>
              <w:pageBreakBefore w:val="0"/>
              <w:widowControl/>
              <w:spacing w:line="240" w:lineRule="auto"/>
              <w:ind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tc>
      </w:tr>
      <w:tr w14:paraId="5597A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42" w:type="pct"/>
            <w:vMerge w:val="continue"/>
            <w:tcBorders>
              <w:top w:val="single" w:color="auto" w:sz="4" w:space="0"/>
              <w:left w:val="single" w:color="auto" w:sz="4" w:space="0"/>
              <w:bottom w:val="single" w:color="auto" w:sz="4" w:space="0"/>
              <w:right w:val="single" w:color="auto" w:sz="4" w:space="0"/>
            </w:tcBorders>
            <w:noWrap w:val="0"/>
            <w:vAlign w:val="center"/>
          </w:tcPr>
          <w:p w14:paraId="79C695D1">
            <w:pPr>
              <w:keepNext w:val="0"/>
              <w:keepLines w:val="0"/>
              <w:pageBreakBefore w:val="0"/>
              <w:spacing w:line="240" w:lineRule="auto"/>
              <w:ind w:firstLine="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4100" w:type="pct"/>
            <w:tcBorders>
              <w:top w:val="single" w:color="auto" w:sz="4" w:space="0"/>
              <w:left w:val="single" w:color="auto" w:sz="4" w:space="0"/>
              <w:bottom w:val="single" w:color="auto" w:sz="4" w:space="0"/>
              <w:right w:val="single" w:color="auto" w:sz="4" w:space="0"/>
            </w:tcBorders>
            <w:noWrap w:val="0"/>
            <w:vAlign w:val="center"/>
          </w:tcPr>
          <w:p w14:paraId="307A0C58">
            <w:pPr>
              <w:keepNext w:val="0"/>
              <w:keepLines w:val="0"/>
              <w:pageBreakBefore w:val="0"/>
              <w:spacing w:line="240" w:lineRule="auto"/>
              <w:ind w:firstLine="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2.6应急预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案</w:t>
            </w:r>
            <w:r>
              <w:rPr>
                <w:rFonts w:hint="eastAsia" w:ascii="宋体" w:hAnsi="宋体" w:eastAsia="宋体" w:cs="宋体"/>
                <w:bCs/>
                <w:color w:val="000000" w:themeColor="text1"/>
                <w:sz w:val="24"/>
                <w:szCs w:val="24"/>
                <w:highlight w:val="none"/>
                <w14:textFill>
                  <w14:solidFill>
                    <w14:schemeClr w14:val="tx1"/>
                  </w14:solidFill>
                </w14:textFill>
              </w:rPr>
              <w:t>及处理措施</w:t>
            </w:r>
          </w:p>
          <w:p w14:paraId="7CFCB7CB">
            <w:pPr>
              <w:keepNext w:val="0"/>
              <w:keepLines w:val="0"/>
              <w:pageBreakBefore w:val="0"/>
              <w:spacing w:line="240" w:lineRule="auto"/>
              <w:ind w:firstLine="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根据投标人提供的应急预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案</w:t>
            </w:r>
            <w:r>
              <w:rPr>
                <w:rFonts w:hint="eastAsia" w:ascii="宋体" w:hAnsi="宋体" w:eastAsia="宋体" w:cs="宋体"/>
                <w:bCs/>
                <w:color w:val="000000" w:themeColor="text1"/>
                <w:sz w:val="24"/>
                <w:szCs w:val="24"/>
                <w:highlight w:val="none"/>
                <w14:textFill>
                  <w14:solidFill>
                    <w14:schemeClr w14:val="tx1"/>
                  </w14:solidFill>
                </w14:textFill>
              </w:rPr>
              <w:t>及处理措施的可行性、针对性进行评价。措施可行性且针对性强的得6分；措施可行性且针对性较强的得</w:t>
            </w:r>
            <w:r>
              <w:rPr>
                <w:rFonts w:hint="eastAsia" w:ascii="宋体" w:hAnsi="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分；措施可行性且针对性较弱的得</w:t>
            </w:r>
            <w:r>
              <w:rPr>
                <w:rFonts w:hint="eastAsia" w:ascii="宋体" w:hAnsi="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分；不提供则不得分。</w:t>
            </w:r>
          </w:p>
        </w:tc>
        <w:tc>
          <w:tcPr>
            <w:tcW w:w="356" w:type="pct"/>
            <w:tcBorders>
              <w:top w:val="single" w:color="auto" w:sz="4" w:space="0"/>
              <w:left w:val="single" w:color="auto" w:sz="4" w:space="0"/>
              <w:bottom w:val="single" w:color="auto" w:sz="4" w:space="0"/>
              <w:right w:val="single" w:color="auto" w:sz="4" w:space="0"/>
            </w:tcBorders>
            <w:noWrap w:val="0"/>
            <w:vAlign w:val="center"/>
          </w:tcPr>
          <w:p w14:paraId="5E7874BA">
            <w:pPr>
              <w:keepNext w:val="0"/>
              <w:keepLines w:val="0"/>
              <w:pageBreakBefore w:val="0"/>
              <w:widowControl/>
              <w:spacing w:line="240" w:lineRule="auto"/>
              <w:ind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6分</w:t>
            </w:r>
          </w:p>
        </w:tc>
      </w:tr>
      <w:tr w14:paraId="57E30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542" w:type="pct"/>
            <w:tcBorders>
              <w:top w:val="single" w:color="auto" w:sz="4" w:space="0"/>
              <w:left w:val="single" w:color="auto" w:sz="4" w:space="0"/>
              <w:bottom w:val="single" w:color="auto" w:sz="4" w:space="0"/>
              <w:right w:val="single" w:color="auto" w:sz="4" w:space="0"/>
            </w:tcBorders>
            <w:noWrap w:val="0"/>
            <w:vAlign w:val="center"/>
          </w:tcPr>
          <w:p w14:paraId="05399087">
            <w:pPr>
              <w:keepNext w:val="0"/>
              <w:keepLines w:val="0"/>
              <w:pageBreakBefore w:val="0"/>
              <w:spacing w:line="240" w:lineRule="auto"/>
              <w:ind w:firstLine="0"/>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Cs/>
                <w:color w:val="000000" w:themeColor="text1"/>
                <w:sz w:val="24"/>
                <w:szCs w:val="24"/>
                <w:highlight w:val="none"/>
                <w14:textFill>
                  <w14:solidFill>
                    <w14:schemeClr w14:val="tx1"/>
                  </w14:solidFill>
                </w14:textFill>
              </w:rPr>
              <w:t>企业实力</w:t>
            </w:r>
          </w:p>
          <w:p w14:paraId="77AD2B96">
            <w:pPr>
              <w:keepNext w:val="0"/>
              <w:keepLines w:val="0"/>
              <w:pageBreakBefore w:val="0"/>
              <w:spacing w:line="240" w:lineRule="auto"/>
              <w:ind w:firstLine="0"/>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Cs/>
                <w:color w:val="000000" w:themeColor="text1"/>
                <w:sz w:val="24"/>
                <w:szCs w:val="24"/>
                <w:highlight w:val="none"/>
                <w14:textFill>
                  <w14:solidFill>
                    <w14:schemeClr w14:val="tx1"/>
                  </w14:solidFill>
                </w14:textFill>
              </w:rPr>
              <w:t>分）</w:t>
            </w:r>
          </w:p>
        </w:tc>
        <w:tc>
          <w:tcPr>
            <w:tcW w:w="4100" w:type="pct"/>
            <w:tcBorders>
              <w:top w:val="single" w:color="auto" w:sz="4" w:space="0"/>
              <w:left w:val="single" w:color="auto" w:sz="4" w:space="0"/>
              <w:right w:val="single" w:color="auto" w:sz="4" w:space="0"/>
            </w:tcBorders>
            <w:noWrap w:val="0"/>
            <w:vAlign w:val="center"/>
          </w:tcPr>
          <w:p w14:paraId="2401F500">
            <w:pPr>
              <w:keepNext w:val="0"/>
              <w:keepLines w:val="0"/>
              <w:pageBreakBefore w:val="0"/>
              <w:spacing w:line="240" w:lineRule="auto"/>
              <w:ind w:firstLine="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3.1</w:t>
            </w:r>
            <w:bookmarkStart w:id="0" w:name="_Hlk134708586"/>
            <w:r>
              <w:rPr>
                <w:rFonts w:hint="eastAsia" w:ascii="宋体" w:hAnsi="宋体" w:eastAsia="宋体" w:cs="宋体"/>
                <w:bCs/>
                <w:color w:val="000000" w:themeColor="text1"/>
                <w:sz w:val="24"/>
                <w:szCs w:val="24"/>
                <w:highlight w:val="none"/>
                <w14:textFill>
                  <w14:solidFill>
                    <w14:schemeClr w14:val="tx1"/>
                  </w14:solidFill>
                </w14:textFill>
              </w:rPr>
              <w:t>项目管理机构人员具有</w:t>
            </w:r>
            <w:r>
              <w:rPr>
                <w:rFonts w:hint="eastAsia" w:ascii="宋体" w:hAnsi="宋体" w:cs="宋体"/>
                <w:bCs/>
                <w:color w:val="000000" w:themeColor="text1"/>
                <w:sz w:val="24"/>
                <w:szCs w:val="24"/>
                <w:highlight w:val="none"/>
                <w:lang w:val="en-US" w:eastAsia="zh-CN"/>
                <w14:textFill>
                  <w14:solidFill>
                    <w14:schemeClr w14:val="tx1"/>
                  </w14:solidFill>
                </w14:textFill>
              </w:rPr>
              <w:t>建筑类相关专业</w:t>
            </w:r>
            <w:r>
              <w:rPr>
                <w:rFonts w:hint="eastAsia" w:ascii="宋体" w:hAnsi="宋体" w:eastAsia="宋体" w:cs="宋体"/>
                <w:bCs/>
                <w:color w:val="000000" w:themeColor="text1"/>
                <w:sz w:val="24"/>
                <w:szCs w:val="24"/>
                <w:highlight w:val="none"/>
                <w14:textFill>
                  <w14:solidFill>
                    <w14:schemeClr w14:val="tx1"/>
                  </w14:solidFill>
                </w14:textFill>
              </w:rPr>
              <w:t>高级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及以上</w:t>
            </w:r>
            <w:r>
              <w:rPr>
                <w:rFonts w:hint="eastAsia" w:ascii="宋体" w:hAnsi="宋体" w:eastAsia="宋体" w:cs="宋体"/>
                <w:bCs/>
                <w:color w:val="000000" w:themeColor="text1"/>
                <w:sz w:val="24"/>
                <w:szCs w:val="24"/>
                <w:highlight w:val="none"/>
                <w14:textFill>
                  <w14:solidFill>
                    <w14:schemeClr w14:val="tx1"/>
                  </w14:solidFill>
                </w14:textFill>
              </w:rPr>
              <w:t>职称的每提供一个得3分；具备</w:t>
            </w:r>
            <w:r>
              <w:rPr>
                <w:rFonts w:hint="eastAsia" w:ascii="宋体" w:hAnsi="宋体" w:cs="宋体"/>
                <w:bCs/>
                <w:color w:val="000000" w:themeColor="text1"/>
                <w:sz w:val="24"/>
                <w:szCs w:val="24"/>
                <w:highlight w:val="none"/>
                <w:lang w:val="en-US" w:eastAsia="zh-CN"/>
                <w14:textFill>
                  <w14:solidFill>
                    <w14:schemeClr w14:val="tx1"/>
                  </w14:solidFill>
                </w14:textFill>
              </w:rPr>
              <w:t>建筑类相关专业</w:t>
            </w:r>
            <w:r>
              <w:rPr>
                <w:rFonts w:hint="eastAsia" w:ascii="宋体" w:hAnsi="宋体" w:eastAsia="宋体" w:cs="宋体"/>
                <w:bCs/>
                <w:color w:val="000000" w:themeColor="text1"/>
                <w:sz w:val="24"/>
                <w:szCs w:val="24"/>
                <w:highlight w:val="none"/>
                <w14:textFill>
                  <w14:solidFill>
                    <w14:schemeClr w14:val="tx1"/>
                  </w14:solidFill>
                </w14:textFill>
              </w:rPr>
              <w:t>中级职称的每提供一个得2分</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本项最高得</w:t>
            </w:r>
            <w:r>
              <w:rPr>
                <w:rFonts w:hint="eastAsia" w:ascii="宋体" w:hAnsi="宋体" w:cs="宋体"/>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Cs/>
                <w:color w:val="000000" w:themeColor="text1"/>
                <w:sz w:val="24"/>
                <w:szCs w:val="24"/>
                <w:highlight w:val="none"/>
                <w14:textFill>
                  <w14:solidFill>
                    <w14:schemeClr w14:val="tx1"/>
                  </w14:solidFill>
                </w14:textFill>
              </w:rPr>
              <w:t>分。（需提供相关证明材料复印件加盖公章</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并提供</w:t>
            </w:r>
            <w:r>
              <w:rPr>
                <w:rFonts w:hint="eastAsia"/>
                <w:color w:val="000000" w:themeColor="text1"/>
                <w:highlight w:val="none"/>
                <w:lang w:val="en-US" w:eastAsia="zh-CN"/>
                <w14:textFill>
                  <w14:solidFill>
                    <w14:schemeClr w14:val="tx1"/>
                  </w14:solidFill>
                </w14:textFill>
              </w:rPr>
              <w:t>社保机构出具的投标截止时间前六个月内任意一个月投标人为其缴纳的社保缴费证明【加盖社保公章或具有可验证的二维码（或验证码）】</w:t>
            </w:r>
            <w:r>
              <w:rPr>
                <w:rFonts w:hint="eastAsia" w:ascii="宋体" w:hAnsi="宋体" w:eastAsia="宋体" w:cs="宋体"/>
                <w:bCs/>
                <w:color w:val="000000" w:themeColor="text1"/>
                <w:sz w:val="24"/>
                <w:szCs w:val="24"/>
                <w:highlight w:val="none"/>
                <w14:textFill>
                  <w14:solidFill>
                    <w14:schemeClr w14:val="tx1"/>
                  </w14:solidFill>
                </w14:textFill>
              </w:rPr>
              <w:t>）</w:t>
            </w:r>
            <w:bookmarkEnd w:id="0"/>
          </w:p>
        </w:tc>
        <w:tc>
          <w:tcPr>
            <w:tcW w:w="356" w:type="pct"/>
            <w:tcBorders>
              <w:top w:val="single" w:color="auto" w:sz="4" w:space="0"/>
              <w:left w:val="single" w:color="auto" w:sz="4" w:space="0"/>
              <w:bottom w:val="single" w:color="auto" w:sz="4" w:space="0"/>
              <w:right w:val="single" w:color="auto" w:sz="4" w:space="0"/>
            </w:tcBorders>
            <w:noWrap w:val="0"/>
            <w:vAlign w:val="center"/>
          </w:tcPr>
          <w:p w14:paraId="41742521">
            <w:pPr>
              <w:keepNext w:val="0"/>
              <w:keepLines w:val="0"/>
              <w:pageBreakBefore w:val="0"/>
              <w:widowControl/>
              <w:spacing w:line="240" w:lineRule="auto"/>
              <w:ind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分</w:t>
            </w:r>
          </w:p>
        </w:tc>
      </w:tr>
      <w:tr w14:paraId="4C3FE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42" w:type="pct"/>
            <w:tcBorders>
              <w:top w:val="single" w:color="auto" w:sz="4" w:space="0"/>
              <w:left w:val="single" w:color="auto" w:sz="4" w:space="0"/>
              <w:bottom w:val="single" w:color="auto" w:sz="4" w:space="0"/>
              <w:right w:val="single" w:color="auto" w:sz="4" w:space="0"/>
            </w:tcBorders>
            <w:noWrap w:val="0"/>
            <w:vAlign w:val="center"/>
          </w:tcPr>
          <w:p w14:paraId="1D905DC9">
            <w:pPr>
              <w:pStyle w:val="31"/>
              <w:keepNext w:val="0"/>
              <w:keepLines w:val="0"/>
              <w:pageBreakBefore w:val="0"/>
              <w:spacing w:before="0" w:beforeAutospacing="0" w:after="0" w:afterAutospacing="0" w:line="240" w:lineRule="auto"/>
              <w:ind w:firstLine="0"/>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四、</w:t>
            </w:r>
            <w:r>
              <w:rPr>
                <w:rFonts w:hint="eastAsia" w:ascii="宋体" w:hAnsi="宋体" w:cs="宋体"/>
                <w:bCs/>
                <w:color w:val="000000" w:themeColor="text1"/>
                <w:sz w:val="24"/>
                <w:szCs w:val="24"/>
                <w:highlight w:val="none"/>
                <w:lang w:val="en-US" w:eastAsia="zh-CN"/>
                <w14:textFill>
                  <w14:solidFill>
                    <w14:schemeClr w14:val="tx1"/>
                  </w14:solidFill>
                </w14:textFill>
              </w:rPr>
              <w:t>企业</w:t>
            </w:r>
            <w:r>
              <w:rPr>
                <w:rFonts w:hint="eastAsia" w:ascii="宋体" w:hAnsi="宋体" w:eastAsia="宋体" w:cs="宋体"/>
                <w:bCs/>
                <w:color w:val="000000" w:themeColor="text1"/>
                <w:sz w:val="24"/>
                <w:szCs w:val="24"/>
                <w:highlight w:val="none"/>
                <w14:textFill>
                  <w14:solidFill>
                    <w14:schemeClr w14:val="tx1"/>
                  </w14:solidFill>
                </w14:textFill>
              </w:rPr>
              <w:t>业绩</w:t>
            </w:r>
          </w:p>
          <w:p w14:paraId="69843E9E">
            <w:pPr>
              <w:pStyle w:val="31"/>
              <w:keepNext w:val="0"/>
              <w:keepLines w:val="0"/>
              <w:pageBreakBefore w:val="0"/>
              <w:spacing w:before="0" w:beforeAutospacing="0" w:after="0" w:afterAutospacing="0" w:line="240" w:lineRule="auto"/>
              <w:ind w:firstLine="0"/>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Cs/>
                <w:color w:val="000000" w:themeColor="text1"/>
                <w:sz w:val="24"/>
                <w:szCs w:val="24"/>
                <w:highlight w:val="none"/>
                <w14:textFill>
                  <w14:solidFill>
                    <w14:schemeClr w14:val="tx1"/>
                  </w14:solidFill>
                </w14:textFill>
              </w:rPr>
              <w:t>分）</w:t>
            </w:r>
          </w:p>
        </w:tc>
        <w:tc>
          <w:tcPr>
            <w:tcW w:w="4100" w:type="pct"/>
            <w:tcBorders>
              <w:top w:val="single" w:color="auto" w:sz="4" w:space="0"/>
              <w:left w:val="single" w:color="auto" w:sz="4" w:space="0"/>
              <w:bottom w:val="single" w:color="auto" w:sz="4" w:space="0"/>
              <w:right w:val="single" w:color="auto" w:sz="4" w:space="0"/>
            </w:tcBorders>
            <w:noWrap w:val="0"/>
            <w:vAlign w:val="center"/>
          </w:tcPr>
          <w:p w14:paraId="12FF84C7">
            <w:pPr>
              <w:pStyle w:val="31"/>
              <w:keepNext w:val="0"/>
              <w:keepLines w:val="0"/>
              <w:pageBreakBefore w:val="0"/>
              <w:spacing w:before="0" w:beforeAutospacing="0" w:after="0" w:afterAutospacing="0" w:line="240" w:lineRule="auto"/>
              <w:ind w:firstLine="0"/>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4.1投标人提供自202</w:t>
            </w:r>
            <w:r>
              <w:rPr>
                <w:rFonts w:hint="eastAsia" w:ascii="宋体" w:hAnsi="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年1月1日</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含</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以来</w:t>
            </w:r>
            <w:r>
              <w:rPr>
                <w:rFonts w:hint="eastAsia" w:ascii="宋体" w:hAnsi="宋体" w:cs="宋体"/>
                <w:bCs/>
                <w:color w:val="000000" w:themeColor="text1"/>
                <w:sz w:val="24"/>
                <w:szCs w:val="24"/>
                <w:highlight w:val="none"/>
                <w:lang w:eastAsia="zh-CN"/>
                <w14:textFill>
                  <w14:solidFill>
                    <w14:schemeClr w14:val="tx1"/>
                  </w14:solidFill>
                </w14:textFill>
              </w:rPr>
              <w:t>：</w:t>
            </w:r>
            <w:r>
              <w:rPr>
                <w:rFonts w:hint="eastAsia" w:ascii="宋体" w:hAnsi="宋体" w:cs="宋体"/>
                <w:bCs/>
                <w:color w:val="000000" w:themeColor="text1"/>
                <w:sz w:val="24"/>
                <w:szCs w:val="24"/>
                <w:highlight w:val="none"/>
                <w:lang w:val="en-US" w:eastAsia="zh-CN"/>
                <w14:textFill>
                  <w14:solidFill>
                    <w14:schemeClr w14:val="tx1"/>
                  </w14:solidFill>
                </w14:textFill>
              </w:rPr>
              <w:t>类似业绩</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有一个得</w:t>
            </w:r>
            <w:r>
              <w:rPr>
                <w:rFonts w:hint="eastAsia" w:ascii="宋体" w:hAnsi="宋体" w:cs="宋体"/>
                <w:bCs/>
                <w:color w:val="000000" w:themeColor="text1"/>
                <w:sz w:val="24"/>
                <w:szCs w:val="24"/>
                <w:highlight w:val="none"/>
                <w:lang w:val="en-US" w:eastAsia="zh-CN" w:bidi="ar-SA"/>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分，最多得</w:t>
            </w:r>
            <w:r>
              <w:rPr>
                <w:rFonts w:hint="eastAsia" w:ascii="宋体" w:hAnsi="宋体" w:cs="宋体"/>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Cs/>
                <w:color w:val="000000" w:themeColor="text1"/>
                <w:sz w:val="24"/>
                <w:szCs w:val="24"/>
                <w:highlight w:val="none"/>
                <w14:textFill>
                  <w14:solidFill>
                    <w14:schemeClr w14:val="tx1"/>
                  </w14:solidFill>
                </w14:textFill>
              </w:rPr>
              <w:t>分。（需提供中标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bCs/>
                <w:color w:val="000000" w:themeColor="text1"/>
                <w:sz w:val="24"/>
                <w:szCs w:val="24"/>
                <w:highlight w:val="none"/>
                <w14:textFill>
                  <w14:solidFill>
                    <w14:schemeClr w14:val="tx1"/>
                  </w14:solidFill>
                </w14:textFill>
              </w:rPr>
              <w:t>通知书、合同、竣工验收证明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扫描</w:t>
            </w:r>
            <w:r>
              <w:rPr>
                <w:rFonts w:hint="eastAsia" w:ascii="宋体" w:hAnsi="宋体" w:eastAsia="宋体" w:cs="宋体"/>
                <w:bCs/>
                <w:color w:val="000000" w:themeColor="text1"/>
                <w:sz w:val="24"/>
                <w:szCs w:val="24"/>
                <w:highlight w:val="none"/>
                <w14:textFill>
                  <w14:solidFill>
                    <w14:schemeClr w14:val="tx1"/>
                  </w14:solidFill>
                </w14:textFill>
              </w:rPr>
              <w:t>件加盖公章，时间以竣工验收证明时间为准，提供的证明材料复印件加盖公章必须能反映出相关数据和内容，否则视为未提供）</w:t>
            </w:r>
          </w:p>
        </w:tc>
        <w:tc>
          <w:tcPr>
            <w:tcW w:w="356" w:type="pct"/>
            <w:tcBorders>
              <w:top w:val="single" w:color="auto" w:sz="4" w:space="0"/>
              <w:left w:val="single" w:color="auto" w:sz="4" w:space="0"/>
              <w:bottom w:val="single" w:color="auto" w:sz="4" w:space="0"/>
              <w:right w:val="single" w:color="auto" w:sz="4" w:space="0"/>
            </w:tcBorders>
            <w:noWrap w:val="0"/>
            <w:vAlign w:val="center"/>
          </w:tcPr>
          <w:p w14:paraId="4C3671D1">
            <w:pPr>
              <w:keepNext w:val="0"/>
              <w:keepLines w:val="0"/>
              <w:pageBreakBefore w:val="0"/>
              <w:spacing w:line="240" w:lineRule="auto"/>
              <w:ind w:firstLine="0"/>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Cs/>
                <w:color w:val="000000" w:themeColor="text1"/>
                <w:sz w:val="24"/>
                <w:szCs w:val="24"/>
                <w:highlight w:val="none"/>
                <w14:textFill>
                  <w14:solidFill>
                    <w14:schemeClr w14:val="tx1"/>
                  </w14:solidFill>
                </w14:textFill>
              </w:rPr>
              <w:t>分</w:t>
            </w:r>
          </w:p>
        </w:tc>
      </w:tr>
      <w:tr w14:paraId="41A4B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42" w:type="pct"/>
            <w:tcBorders>
              <w:top w:val="single" w:color="auto" w:sz="4" w:space="0"/>
              <w:left w:val="single" w:color="auto" w:sz="4" w:space="0"/>
              <w:bottom w:val="single" w:color="auto" w:sz="4" w:space="0"/>
              <w:right w:val="single" w:color="auto" w:sz="4" w:space="0"/>
            </w:tcBorders>
            <w:noWrap w:val="0"/>
            <w:vAlign w:val="center"/>
          </w:tcPr>
          <w:p w14:paraId="06579C76">
            <w:pPr>
              <w:keepNext w:val="0"/>
              <w:keepLines w:val="0"/>
              <w:pageBreakBefore w:val="0"/>
              <w:numPr>
                <w:ilvl w:val="0"/>
                <w:numId w:val="0"/>
              </w:numPr>
              <w:spacing w:line="240" w:lineRule="auto"/>
              <w:jc w:val="center"/>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五、</w:t>
            </w:r>
            <w:r>
              <w:rPr>
                <w:rFonts w:hint="eastAsia" w:ascii="宋体" w:hAnsi="宋体" w:cs="宋体"/>
                <w:bCs/>
                <w:color w:val="000000" w:themeColor="text1"/>
                <w:sz w:val="24"/>
                <w:szCs w:val="24"/>
                <w:highlight w:val="none"/>
                <w:lang w:val="en-US" w:eastAsia="zh-CN"/>
                <w14:textFill>
                  <w14:solidFill>
                    <w14:schemeClr w14:val="tx1"/>
                  </w14:solidFill>
                </w14:textFill>
              </w:rPr>
              <w:t>项目负责人业绩</w:t>
            </w:r>
          </w:p>
          <w:p w14:paraId="2DAA5016">
            <w:pPr>
              <w:keepNext w:val="0"/>
              <w:keepLines w:val="0"/>
              <w:pageBreakBefore w:val="0"/>
              <w:spacing w:line="240" w:lineRule="auto"/>
              <w:ind w:firstLine="0"/>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分）</w:t>
            </w:r>
          </w:p>
        </w:tc>
        <w:tc>
          <w:tcPr>
            <w:tcW w:w="4100" w:type="pct"/>
            <w:tcBorders>
              <w:top w:val="single" w:color="auto" w:sz="4" w:space="0"/>
              <w:left w:val="single" w:color="auto" w:sz="4" w:space="0"/>
              <w:right w:val="single" w:color="auto" w:sz="4" w:space="0"/>
            </w:tcBorders>
            <w:noWrap w:val="0"/>
            <w:vAlign w:val="center"/>
          </w:tcPr>
          <w:p w14:paraId="5B3B5EFF">
            <w:pPr>
              <w:pStyle w:val="31"/>
              <w:keepNext w:val="0"/>
              <w:keepLines w:val="0"/>
              <w:pageBreakBefore w:val="0"/>
              <w:spacing w:before="0" w:beforeAutospacing="0" w:after="0" w:afterAutospacing="0" w:line="240" w:lineRule="auto"/>
              <w:ind w:firstLine="0"/>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 </w:t>
            </w:r>
            <w:r>
              <w:rPr>
                <w:rFonts w:hint="eastAsia" w:ascii="宋体" w:hAnsi="宋体" w:cs="宋体"/>
                <w:bCs/>
                <w:color w:val="000000" w:themeColor="text1"/>
                <w:sz w:val="24"/>
                <w:szCs w:val="24"/>
                <w:highlight w:val="none"/>
                <w:lang w:val="en-US" w:eastAsia="zh-CN"/>
                <w14:textFill>
                  <w14:solidFill>
                    <w14:schemeClr w14:val="tx1"/>
                  </w14:solidFill>
                </w14:textFill>
              </w:rPr>
              <w:t>项目负责人</w:t>
            </w:r>
            <w:r>
              <w:rPr>
                <w:rFonts w:hint="eastAsia" w:ascii="宋体" w:hAnsi="宋体" w:eastAsia="宋体" w:cs="宋体"/>
                <w:bCs/>
                <w:color w:val="000000" w:themeColor="text1"/>
                <w:sz w:val="24"/>
                <w:szCs w:val="24"/>
                <w:highlight w:val="none"/>
                <w14:textFill>
                  <w14:solidFill>
                    <w14:schemeClr w14:val="tx1"/>
                  </w14:solidFill>
                </w14:textFill>
              </w:rPr>
              <w:t>自202</w:t>
            </w:r>
            <w:r>
              <w:rPr>
                <w:rFonts w:hint="eastAsia" w:ascii="宋体" w:hAnsi="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年1月1日</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含</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以来</w:t>
            </w:r>
            <w:r>
              <w:rPr>
                <w:rFonts w:hint="eastAsia" w:ascii="宋体" w:hAnsi="宋体" w:cs="宋体"/>
                <w:bCs/>
                <w:color w:val="000000" w:themeColor="text1"/>
                <w:sz w:val="24"/>
                <w:szCs w:val="24"/>
                <w:highlight w:val="none"/>
                <w:lang w:eastAsia="zh-CN"/>
                <w14:textFill>
                  <w14:solidFill>
                    <w14:schemeClr w14:val="tx1"/>
                  </w14:solidFill>
                </w14:textFill>
              </w:rPr>
              <w:t>：</w:t>
            </w:r>
            <w:r>
              <w:rPr>
                <w:rFonts w:hint="eastAsia" w:ascii="宋体" w:hAnsi="宋体" w:cs="宋体"/>
                <w:bCs/>
                <w:color w:val="000000" w:themeColor="text1"/>
                <w:sz w:val="24"/>
                <w:szCs w:val="24"/>
                <w:highlight w:val="none"/>
                <w:lang w:val="en-US" w:eastAsia="zh-CN"/>
                <w14:textFill>
                  <w14:solidFill>
                    <w14:schemeClr w14:val="tx1"/>
                  </w14:solidFill>
                </w14:textFill>
              </w:rPr>
              <w:t>类似业绩</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有一个得</w:t>
            </w:r>
            <w:r>
              <w:rPr>
                <w:rFonts w:hint="eastAsia" w:ascii="宋体" w:hAnsi="宋体" w:cs="宋体"/>
                <w:bCs/>
                <w:color w:val="000000" w:themeColor="text1"/>
                <w:sz w:val="24"/>
                <w:szCs w:val="24"/>
                <w:highlight w:val="none"/>
                <w:lang w:val="en-US" w:eastAsia="zh-CN" w:bidi="ar-SA"/>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分，最多得</w:t>
            </w:r>
            <w:r>
              <w:rPr>
                <w:rFonts w:hint="eastAsia" w:ascii="宋体" w:hAnsi="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分。（需提供中标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bCs/>
                <w:color w:val="000000" w:themeColor="text1"/>
                <w:sz w:val="24"/>
                <w:szCs w:val="24"/>
                <w:highlight w:val="none"/>
                <w14:textFill>
                  <w14:solidFill>
                    <w14:schemeClr w14:val="tx1"/>
                  </w14:solidFill>
                </w14:textFill>
              </w:rPr>
              <w:t>通知书、合同、竣工验收证明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扫描</w:t>
            </w:r>
            <w:r>
              <w:rPr>
                <w:rFonts w:hint="eastAsia" w:ascii="宋体" w:hAnsi="宋体" w:eastAsia="宋体" w:cs="宋体"/>
                <w:bCs/>
                <w:color w:val="000000" w:themeColor="text1"/>
                <w:sz w:val="24"/>
                <w:szCs w:val="24"/>
                <w:highlight w:val="none"/>
                <w14:textFill>
                  <w14:solidFill>
                    <w14:schemeClr w14:val="tx1"/>
                  </w14:solidFill>
                </w14:textFill>
              </w:rPr>
              <w:t>件加盖公章，时间以竣工验收证明时间为准，提供的证明材料复印件加盖公章必须能反映出相关数据和内容，否则视为未提供</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项目负责人业绩与企业业绩不兼得</w:t>
            </w:r>
            <w:r>
              <w:rPr>
                <w:rFonts w:hint="eastAsia" w:ascii="宋体" w:hAnsi="宋体" w:eastAsia="宋体" w:cs="宋体"/>
                <w:bCs/>
                <w:color w:val="000000" w:themeColor="text1"/>
                <w:sz w:val="24"/>
                <w:szCs w:val="24"/>
                <w:highlight w:val="none"/>
                <w14:textFill>
                  <w14:solidFill>
                    <w14:schemeClr w14:val="tx1"/>
                  </w14:solidFill>
                </w14:textFill>
              </w:rPr>
              <w:t>）</w:t>
            </w:r>
          </w:p>
        </w:tc>
        <w:tc>
          <w:tcPr>
            <w:tcW w:w="356" w:type="pct"/>
            <w:tcBorders>
              <w:top w:val="single" w:color="auto" w:sz="4" w:space="0"/>
              <w:left w:val="single" w:color="auto" w:sz="4" w:space="0"/>
              <w:bottom w:val="single" w:color="auto" w:sz="4" w:space="0"/>
              <w:right w:val="single" w:color="auto" w:sz="4" w:space="0"/>
            </w:tcBorders>
            <w:noWrap w:val="0"/>
            <w:vAlign w:val="center"/>
          </w:tcPr>
          <w:p w14:paraId="0EC67BD4">
            <w:pPr>
              <w:keepNext w:val="0"/>
              <w:keepLines w:val="0"/>
              <w:pageBreakBefore w:val="0"/>
              <w:spacing w:line="240" w:lineRule="auto"/>
              <w:ind w:firstLine="0"/>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分</w:t>
            </w:r>
          </w:p>
        </w:tc>
      </w:tr>
    </w:tbl>
    <w:p w14:paraId="682A1E8D">
      <w:pPr>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政府采购政策功能落实</w:t>
      </w:r>
      <w:r>
        <w:rPr>
          <w:rFonts w:hint="eastAsia"/>
          <w:b/>
          <w:bCs/>
          <w:color w:val="000000" w:themeColor="text1"/>
          <w:highlight w:val="none"/>
          <w:lang w:eastAsia="zh-CN"/>
          <w14:textFill>
            <w14:solidFill>
              <w14:schemeClr w14:val="tx1"/>
            </w14:solidFill>
          </w14:textFill>
        </w:rPr>
        <w:t>：</w:t>
      </w:r>
    </w:p>
    <w:p w14:paraId="291B602E">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1</w:t>
      </w:r>
      <w:r>
        <w:rPr>
          <w:rFonts w:hint="eastAsia"/>
          <w:b w:val="0"/>
          <w:bCs w:val="0"/>
          <w:color w:val="000000" w:themeColor="text1"/>
          <w:highlight w:val="none"/>
          <w:lang w:val="en-US" w:eastAsia="zh-CN"/>
          <w14:textFill>
            <w14:solidFill>
              <w14:schemeClr w14:val="tx1"/>
            </w14:solidFill>
          </w14:textFill>
        </w:rPr>
        <w:t>.</w:t>
      </w:r>
      <w:r>
        <w:rPr>
          <w:rFonts w:hint="eastAsia"/>
          <w:b w:val="0"/>
          <w:bCs w:val="0"/>
          <w:color w:val="000000" w:themeColor="text1"/>
          <w:highlight w:val="none"/>
          <w14:textFill>
            <w14:solidFill>
              <w14:schemeClr w14:val="tx1"/>
            </w14:solidFill>
          </w14:textFill>
        </w:rPr>
        <w:t>小微型企业价格扣除</w:t>
      </w:r>
    </w:p>
    <w:p w14:paraId="2E874065">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（1）本项目对小型和微型企业</w:t>
      </w:r>
      <w:r>
        <w:rPr>
          <w:rFonts w:hint="eastAsia"/>
          <w:color w:val="000000" w:themeColor="text1"/>
          <w:highlight w:val="none"/>
          <w:lang w:val="en-US" w:eastAsia="zh-CN"/>
          <w14:textFill>
            <w14:solidFill>
              <w14:schemeClr w14:val="tx1"/>
            </w14:solidFill>
          </w14:textFill>
        </w:rPr>
        <w:t>承建工程</w:t>
      </w:r>
      <w:r>
        <w:rPr>
          <w:rFonts w:hint="eastAsia"/>
          <w:color w:val="000000" w:themeColor="text1"/>
          <w:highlight w:val="none"/>
          <w14:textFill>
            <w14:solidFill>
              <w14:schemeClr w14:val="tx1"/>
            </w14:solidFill>
          </w14:textFill>
        </w:rPr>
        <w:t>给予</w:t>
      </w: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%的扣除价格，用扣除后的价格参与评审。</w:t>
      </w:r>
    </w:p>
    <w:p w14:paraId="56DCC3A5">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需按照</w:t>
      </w:r>
      <w:r>
        <w:rPr>
          <w:rFonts w:hint="eastAsia"/>
          <w:color w:val="000000" w:themeColor="text1"/>
          <w:highlight w:val="none"/>
          <w:lang w:val="en-US" w:eastAsia="zh-CN"/>
          <w14:textFill>
            <w14:solidFill>
              <w14:schemeClr w14:val="tx1"/>
            </w14:solidFill>
          </w14:textFill>
        </w:rPr>
        <w:t>招标</w:t>
      </w:r>
      <w:r>
        <w:rPr>
          <w:rFonts w:hint="eastAsia"/>
          <w:color w:val="000000" w:themeColor="text1"/>
          <w:highlight w:val="none"/>
          <w14:textFill>
            <w14:solidFill>
              <w14:schemeClr w14:val="tx1"/>
            </w14:solidFill>
          </w14:textFill>
        </w:rPr>
        <w:t>文件的要求提供相应的《中小微企业声明函》。</w:t>
      </w:r>
    </w:p>
    <w:p w14:paraId="65AD171A">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2</w:t>
      </w:r>
      <w:r>
        <w:rPr>
          <w:rFonts w:hint="eastAsia"/>
          <w:b w:val="0"/>
          <w:bCs w:val="0"/>
          <w:color w:val="000000" w:themeColor="text1"/>
          <w:highlight w:val="none"/>
          <w:lang w:val="en-US" w:eastAsia="zh-CN"/>
          <w14:textFill>
            <w14:solidFill>
              <w14:schemeClr w14:val="tx1"/>
            </w14:solidFill>
          </w14:textFill>
        </w:rPr>
        <w:t>.</w:t>
      </w:r>
      <w:r>
        <w:rPr>
          <w:rFonts w:hint="eastAsia"/>
          <w:b w:val="0"/>
          <w:bCs w:val="0"/>
          <w:color w:val="000000" w:themeColor="text1"/>
          <w:highlight w:val="none"/>
          <w14:textFill>
            <w14:solidFill>
              <w14:schemeClr w14:val="tx1"/>
            </w14:solidFill>
          </w14:textFill>
        </w:rPr>
        <w:t>残疾人福利单位价格扣除</w:t>
      </w:r>
    </w:p>
    <w:p w14:paraId="047055C0">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（1）本项目对残疾人福利性单位视同小型、微型企业，给予</w:t>
      </w: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%的价格扣除，用扣除后的价格参与评审。</w:t>
      </w:r>
    </w:p>
    <w:p w14:paraId="2F5F99CE">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（2）残疾人福利单位需按照</w:t>
      </w:r>
      <w:r>
        <w:rPr>
          <w:rFonts w:hint="eastAsia"/>
          <w:color w:val="000000" w:themeColor="text1"/>
          <w:highlight w:val="none"/>
          <w:lang w:val="en-US" w:eastAsia="zh-CN"/>
          <w14:textFill>
            <w14:solidFill>
              <w14:schemeClr w14:val="tx1"/>
            </w14:solidFill>
          </w14:textFill>
        </w:rPr>
        <w:t>招标</w:t>
      </w:r>
      <w:r>
        <w:rPr>
          <w:rFonts w:hint="eastAsia"/>
          <w:color w:val="000000" w:themeColor="text1"/>
          <w:highlight w:val="none"/>
          <w14:textFill>
            <w14:solidFill>
              <w14:schemeClr w14:val="tx1"/>
            </w14:solidFill>
          </w14:textFill>
        </w:rPr>
        <w:t>文件的要求提供《残疾人福利性单位声明函》。</w:t>
      </w:r>
    </w:p>
    <w:p w14:paraId="4F351124">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（3）残疾人福利单位标准请参照《关于促进残疾人就业政府采购政策的通知》（财库〔2017〕141号）。</w:t>
      </w:r>
    </w:p>
    <w:p w14:paraId="2E9F01DD">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3</w:t>
      </w:r>
      <w:r>
        <w:rPr>
          <w:rFonts w:hint="eastAsia"/>
          <w:b w:val="0"/>
          <w:bCs w:val="0"/>
          <w:color w:val="000000" w:themeColor="text1"/>
          <w:highlight w:val="none"/>
          <w:lang w:val="en-US" w:eastAsia="zh-CN"/>
          <w14:textFill>
            <w14:solidFill>
              <w14:schemeClr w14:val="tx1"/>
            </w14:solidFill>
          </w14:textFill>
        </w:rPr>
        <w:t>.</w:t>
      </w:r>
      <w:r>
        <w:rPr>
          <w:rFonts w:hint="eastAsia"/>
          <w:b w:val="0"/>
          <w:bCs w:val="0"/>
          <w:color w:val="000000" w:themeColor="text1"/>
          <w:highlight w:val="none"/>
          <w14:textFill>
            <w14:solidFill>
              <w14:schemeClr w14:val="tx1"/>
            </w14:solidFill>
          </w14:textFill>
        </w:rPr>
        <w:t>监狱和戒毒企业价格扣除</w:t>
      </w:r>
    </w:p>
    <w:p w14:paraId="12577B0F">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（1）本项目对监狱和戒毒企业（简称监狱企业）视同小型、微型企业，给予</w:t>
      </w: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%的价格扣除，用扣除后的价格参与评审。</w:t>
      </w:r>
    </w:p>
    <w:p w14:paraId="5EA6A1E5">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（2）监狱企业参加政府采购活动时，需提供由省级以上监狱管理局、戒毒管理局</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含新疆生产建设兵团</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出具的属于监狱企业的证明文件。</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14:textFill>
            <w14:solidFill>
              <w14:schemeClr w14:val="tx1"/>
            </w14:solidFill>
          </w14:textFill>
        </w:rPr>
        <w:t>如不提供上述证明文件，价格将不做相应扣除。</w:t>
      </w:r>
    </w:p>
    <w:p w14:paraId="7289B498">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（3）监狱企业标准请参照《关于政府采购支持监狱企业发展有关问题的通知》（财库〔2014〕68号）。</w:t>
      </w:r>
    </w:p>
    <w:p w14:paraId="0DD474CA">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残疾人福利单位、监狱企业属于小型、微型企业的，不重复享受政策。</w:t>
      </w:r>
    </w:p>
    <w:p w14:paraId="278B7ACD">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如本项目同意联合体投标或同意分包履行合同的</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14:paraId="77D80883">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联合体各方均为小型、微型企业（残疾人福利单位、监狱企业）的，联合体享受</w:t>
      </w: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%价格扣除，用扣除后的价格参与评审。</w:t>
      </w:r>
    </w:p>
    <w:p w14:paraId="6FE0BC9A">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p>
    <w:p w14:paraId="73E6AFAF">
      <w:pPr>
        <w:pStyle w:val="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第四章  采购需求</w:t>
      </w:r>
    </w:p>
    <w:p w14:paraId="27530EDC">
      <w:pPr>
        <w:spacing w:line="360" w:lineRule="auto"/>
        <w:jc w:val="left"/>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供应商应在《技术条款偏离》和《商务条款偏离》中针对本章内容进行响应说明，本章中标注“★”的内容均为实质性要求，如有负偏离视为无效响应，未响应或缺项漏项视为负偏离。</w:t>
      </w:r>
    </w:p>
    <w:p w14:paraId="4D811BEB">
      <w:pPr>
        <w:spacing w:line="360" w:lineRule="auto"/>
        <w:ind w:firstLine="482"/>
        <w:jc w:val="lef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一、项目概述</w:t>
      </w:r>
    </w:p>
    <w:p w14:paraId="73942132">
      <w:pPr>
        <w:spacing w:line="360" w:lineRule="auto"/>
        <w:ind w:firstLine="480"/>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（一）项目名称：</w:t>
      </w:r>
      <w:r>
        <w:rPr>
          <w:rFonts w:hint="eastAsia" w:ascii="宋体" w:hAnsi="宋体" w:cs="宋体"/>
          <w:color w:val="000000" w:themeColor="text1"/>
          <w:sz w:val="24"/>
          <w:highlight w:val="none"/>
          <w:lang w:eastAsia="zh-CN"/>
          <w14:textFill>
            <w14:solidFill>
              <w14:schemeClr w14:val="tx1"/>
            </w14:solidFill>
          </w14:textFill>
        </w:rPr>
        <w:t>仙林校区及周边存量房出新改造</w:t>
      </w:r>
    </w:p>
    <w:p w14:paraId="28EDEC0D">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（二）施工内容：本项目为南京师范大学仙林校区周边存量房出新工程，位于南京师范大学仙林校区，仙林大学城文苑路1号6、11、15、16、17、18幢部分存量房出新，详见图纸及工程量清单。</w:t>
      </w:r>
    </w:p>
    <w:p w14:paraId="52E6FA54">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★（三）承包方式：包工包料。</w:t>
      </w:r>
    </w:p>
    <w:p w14:paraId="492F7510">
      <w:pPr>
        <w:spacing w:line="360" w:lineRule="auto"/>
        <w:ind w:firstLine="482"/>
        <w:jc w:val="lef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二、工程量清单及编制说明</w:t>
      </w:r>
    </w:p>
    <w:p w14:paraId="46F698E4">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清单详见附件。</w:t>
      </w:r>
    </w:p>
    <w:p w14:paraId="071A06BA">
      <w:pPr>
        <w:spacing w:line="360" w:lineRule="auto"/>
        <w:ind w:firstLine="482"/>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★三、工期要求及免费质保期要求</w:t>
      </w:r>
    </w:p>
    <w:p w14:paraId="0F3E0084">
      <w:pPr>
        <w:spacing w:line="360" w:lineRule="auto"/>
        <w:ind w:firstLine="480"/>
        <w:jc w:val="left"/>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（一）工期</w:t>
      </w:r>
      <w:r>
        <w:rPr>
          <w:rFonts w:hint="eastAsia" w:ascii="宋体" w:hAnsi="宋体" w:cs="宋体"/>
          <w:strike w:val="0"/>
          <w:color w:val="000000" w:themeColor="text1"/>
          <w:sz w:val="24"/>
          <w:highlight w:val="none"/>
          <w:lang w:eastAsia="zh-CN"/>
          <w14:textFill>
            <w14:solidFill>
              <w14:schemeClr w14:val="tx1"/>
            </w14:solidFill>
          </w14:textFill>
        </w:rPr>
        <w:t>：</w:t>
      </w:r>
      <w:r>
        <w:rPr>
          <w:rFonts w:hint="eastAsia" w:ascii="宋体" w:hAnsi="宋体" w:cs="宋体"/>
          <w:strike w:val="0"/>
          <w:color w:val="000000" w:themeColor="text1"/>
          <w:sz w:val="24"/>
          <w:highlight w:val="none"/>
          <w:lang w:val="en-US" w:eastAsia="zh-CN"/>
          <w14:textFill>
            <w14:solidFill>
              <w14:schemeClr w14:val="tx1"/>
            </w14:solidFill>
          </w14:textFill>
        </w:rPr>
        <w:t>30</w:t>
      </w:r>
      <w:r>
        <w:rPr>
          <w:rFonts w:hint="eastAsia" w:ascii="宋体" w:hAnsi="宋体" w:cs="宋体"/>
          <w:strike w:val="0"/>
          <w:color w:val="000000" w:themeColor="text1"/>
          <w:sz w:val="24"/>
          <w:highlight w:val="none"/>
          <w14:textFill>
            <w14:solidFill>
              <w14:schemeClr w14:val="tx1"/>
            </w14:solidFill>
          </w14:textFill>
        </w:rPr>
        <w:t>天；</w:t>
      </w:r>
    </w:p>
    <w:p w14:paraId="2A4BE0CF">
      <w:pPr>
        <w:spacing w:line="360" w:lineRule="auto"/>
        <w:ind w:firstLine="480"/>
        <w:jc w:val="left"/>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（二）缺陷责任期：</w:t>
      </w:r>
      <w:r>
        <w:rPr>
          <w:rFonts w:hint="eastAsia" w:ascii="宋体" w:hAnsi="宋体" w:cs="宋体"/>
          <w:strike w:val="0"/>
          <w:color w:val="000000" w:themeColor="text1"/>
          <w:sz w:val="24"/>
          <w:highlight w:val="none"/>
          <w:lang w:val="en-US" w:eastAsia="zh-CN"/>
          <w14:textFill>
            <w14:solidFill>
              <w14:schemeClr w14:val="tx1"/>
            </w14:solidFill>
          </w14:textFill>
        </w:rPr>
        <w:t>24</w:t>
      </w:r>
      <w:r>
        <w:rPr>
          <w:rFonts w:hint="eastAsia" w:ascii="宋体" w:hAnsi="宋体" w:cs="宋体"/>
          <w:strike w:val="0"/>
          <w:color w:val="000000" w:themeColor="text1"/>
          <w:sz w:val="24"/>
          <w:highlight w:val="none"/>
          <w14:textFill>
            <w14:solidFill>
              <w14:schemeClr w14:val="tx1"/>
            </w14:solidFill>
          </w14:textFill>
        </w:rPr>
        <w:t>个月（自实际竣工验收合格之日起计）。</w:t>
      </w:r>
    </w:p>
    <w:p w14:paraId="0E6D19F8">
      <w:pPr>
        <w:spacing w:line="360" w:lineRule="auto"/>
        <w:ind w:firstLine="480"/>
        <w:jc w:val="left"/>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（三）质量保证期要求：质保不少于</w:t>
      </w:r>
      <w:r>
        <w:rPr>
          <w:rFonts w:hint="eastAsia" w:ascii="宋体" w:hAnsi="宋体" w:cs="宋体"/>
          <w:strike w:val="0"/>
          <w:color w:val="000000" w:themeColor="text1"/>
          <w:sz w:val="24"/>
          <w:highlight w:val="none"/>
          <w:lang w:val="en-US" w:eastAsia="zh-CN"/>
          <w14:textFill>
            <w14:solidFill>
              <w14:schemeClr w14:val="tx1"/>
            </w14:solidFill>
          </w14:textFill>
        </w:rPr>
        <w:t>2</w:t>
      </w:r>
      <w:r>
        <w:rPr>
          <w:rFonts w:hint="eastAsia" w:ascii="宋体" w:hAnsi="宋体" w:cs="宋体"/>
          <w:strike w:val="0"/>
          <w:color w:val="000000" w:themeColor="text1"/>
          <w:sz w:val="24"/>
          <w:highlight w:val="none"/>
          <w14:textFill>
            <w14:solidFill>
              <w14:schemeClr w14:val="tx1"/>
            </w14:solidFill>
          </w14:textFill>
        </w:rPr>
        <w:t>年</w:t>
      </w:r>
      <w:r>
        <w:rPr>
          <w:rFonts w:hint="eastAsia" w:ascii="宋体" w:hAnsi="宋体" w:cs="宋体"/>
          <w:strike w:val="0"/>
          <w:color w:val="000000" w:themeColor="text1"/>
          <w:sz w:val="24"/>
          <w:highlight w:val="none"/>
          <w:lang w:eastAsia="zh-CN"/>
          <w14:textFill>
            <w14:solidFill>
              <w14:schemeClr w14:val="tx1"/>
            </w14:solidFill>
          </w14:textFill>
        </w:rPr>
        <w:t>，</w:t>
      </w:r>
      <w:r>
        <w:rPr>
          <w:rFonts w:hint="eastAsia" w:ascii="宋体" w:hAnsi="宋体" w:cs="宋体"/>
          <w:strike w:val="0"/>
          <w:color w:val="000000" w:themeColor="text1"/>
          <w:sz w:val="24"/>
          <w:highlight w:val="none"/>
          <w:lang w:val="en-US" w:eastAsia="zh-CN"/>
          <w14:textFill>
            <w14:solidFill>
              <w14:schemeClr w14:val="tx1"/>
            </w14:solidFill>
          </w14:textFill>
        </w:rPr>
        <w:t>其中涉及防水工程的部分不少于5年</w:t>
      </w:r>
      <w:r>
        <w:rPr>
          <w:rFonts w:hint="eastAsia" w:ascii="宋体" w:hAnsi="宋体" w:cs="宋体"/>
          <w:strike w:val="0"/>
          <w:color w:val="000000" w:themeColor="text1"/>
          <w:sz w:val="24"/>
          <w:highlight w:val="none"/>
          <w14:textFill>
            <w14:solidFill>
              <w14:schemeClr w14:val="tx1"/>
            </w14:solidFill>
          </w14:textFill>
        </w:rPr>
        <w:t>。质保期内，如有质量等问题，应免费维修并且保证接采购人电话通知后，12小时内委派专业维修人员到达现场。</w:t>
      </w:r>
    </w:p>
    <w:p w14:paraId="418A7986">
      <w:pPr>
        <w:spacing w:line="360" w:lineRule="auto"/>
        <w:ind w:firstLine="480"/>
        <w:jc w:val="left"/>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（四）施工地点：南京师范大学仙林校区。</w:t>
      </w:r>
    </w:p>
    <w:p w14:paraId="5C40CE06">
      <w:pPr>
        <w:spacing w:line="360" w:lineRule="auto"/>
        <w:ind w:firstLine="482"/>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w:t>
      </w:r>
      <w:r>
        <w:rPr>
          <w:rFonts w:hint="eastAsia" w:ascii="宋体" w:hAnsi="宋体" w:cs="宋体"/>
          <w:b/>
          <w:color w:val="000000" w:themeColor="text1"/>
          <w:sz w:val="24"/>
          <w:highlight w:val="none"/>
          <w14:textFill>
            <w14:solidFill>
              <w14:schemeClr w14:val="tx1"/>
            </w14:solidFill>
          </w14:textFill>
        </w:rPr>
        <w:t>四、履约保证金</w:t>
      </w:r>
    </w:p>
    <w:p w14:paraId="2563EB1B">
      <w:pPr>
        <w:spacing w:line="360" w:lineRule="auto"/>
        <w:ind w:firstLine="480"/>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签订合同前，</w:t>
      </w:r>
      <w:r>
        <w:rPr>
          <w:rFonts w:hint="eastAsia" w:ascii="宋体" w:hAnsi="宋体" w:cs="宋体"/>
          <w:bCs/>
          <w:color w:val="000000" w:themeColor="text1"/>
          <w:sz w:val="24"/>
          <w:highlight w:val="none"/>
          <w:lang w:val="en-US" w:eastAsia="zh-CN"/>
          <w14:textFill>
            <w14:solidFill>
              <w14:schemeClr w14:val="tx1"/>
            </w14:solidFill>
          </w14:textFill>
        </w:rPr>
        <w:t>成交供应商</w:t>
      </w:r>
      <w:r>
        <w:rPr>
          <w:rFonts w:hint="eastAsia" w:ascii="宋体" w:hAnsi="宋体" w:cs="宋体"/>
          <w:bCs/>
          <w:color w:val="000000" w:themeColor="text1"/>
          <w:sz w:val="24"/>
          <w:highlight w:val="none"/>
          <w14:textFill>
            <w14:solidFill>
              <w14:schemeClr w14:val="tx1"/>
            </w14:solidFill>
          </w14:textFill>
        </w:rPr>
        <w:t>须向</w:t>
      </w:r>
      <w:r>
        <w:rPr>
          <w:rFonts w:hint="eastAsia" w:ascii="宋体" w:hAnsi="宋体" w:cs="宋体"/>
          <w:bCs/>
          <w:color w:val="000000" w:themeColor="text1"/>
          <w:sz w:val="24"/>
          <w:highlight w:val="none"/>
          <w:lang w:val="en-US" w:eastAsia="zh-CN"/>
          <w14:textFill>
            <w14:solidFill>
              <w14:schemeClr w14:val="tx1"/>
            </w14:solidFill>
          </w14:textFill>
        </w:rPr>
        <w:t>采购人</w:t>
      </w:r>
      <w:r>
        <w:rPr>
          <w:rFonts w:hint="eastAsia" w:ascii="宋体" w:hAnsi="宋体" w:cs="宋体"/>
          <w:bCs/>
          <w:color w:val="000000" w:themeColor="text1"/>
          <w:sz w:val="24"/>
          <w:highlight w:val="none"/>
          <w14:textFill>
            <w14:solidFill>
              <w14:schemeClr w14:val="tx1"/>
            </w14:solidFill>
          </w14:textFill>
        </w:rPr>
        <w:t>缴纳</w:t>
      </w:r>
      <w:r>
        <w:rPr>
          <w:rFonts w:hint="eastAsia" w:ascii="宋体" w:hAnsi="宋体" w:cs="宋体"/>
          <w:bCs/>
          <w:color w:val="000000" w:themeColor="text1"/>
          <w:sz w:val="24"/>
          <w:highlight w:val="none"/>
          <w:lang w:val="en-US" w:eastAsia="zh-CN"/>
          <w14:textFill>
            <w14:solidFill>
              <w14:schemeClr w14:val="tx1"/>
            </w14:solidFill>
          </w14:textFill>
        </w:rPr>
        <w:t>中标价3</w:t>
      </w:r>
      <w:r>
        <w:rPr>
          <w:rFonts w:hint="eastAsia" w:ascii="宋体" w:hAnsi="宋体" w:cs="宋体"/>
          <w:bCs/>
          <w:color w:val="000000" w:themeColor="text1"/>
          <w:sz w:val="24"/>
          <w:highlight w:val="none"/>
          <w14:textFill>
            <w14:solidFill>
              <w14:schemeClr w14:val="tx1"/>
            </w14:solidFill>
          </w14:textFill>
        </w:rPr>
        <w:t>%的履约保证金；质保期内无质量问题的，质保金在质保期满后且收到乙方合法票据一个月内无息退还。</w:t>
      </w:r>
    </w:p>
    <w:p w14:paraId="008311C1">
      <w:pPr>
        <w:spacing w:line="360" w:lineRule="auto"/>
        <w:ind w:firstLine="482"/>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w:t>
      </w:r>
      <w:r>
        <w:rPr>
          <w:rFonts w:hint="eastAsia" w:ascii="宋体" w:hAnsi="宋体" w:cs="宋体"/>
          <w:b/>
          <w:color w:val="000000" w:themeColor="text1"/>
          <w:sz w:val="24"/>
          <w:highlight w:val="none"/>
          <w14:textFill>
            <w14:solidFill>
              <w14:schemeClr w14:val="tx1"/>
            </w14:solidFill>
          </w14:textFill>
        </w:rPr>
        <w:t>五、付款方式</w:t>
      </w:r>
    </w:p>
    <w:p w14:paraId="11BA8D3D">
      <w:pPr>
        <w:numPr>
          <w:ilvl w:val="0"/>
          <w:numId w:val="0"/>
        </w:numPr>
        <w:spacing w:line="360" w:lineRule="auto"/>
        <w:ind w:firstLine="480"/>
        <w:jc w:val="left"/>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（一）</w:t>
      </w:r>
      <w:r>
        <w:rPr>
          <w:rFonts w:hint="eastAsia" w:ascii="宋体" w:hAnsi="宋体" w:cs="宋体"/>
          <w:color w:val="000000" w:themeColor="text1"/>
          <w:sz w:val="24"/>
          <w:highlight w:val="none"/>
          <w14:textFill>
            <w14:solidFill>
              <w14:schemeClr w14:val="tx1"/>
            </w14:solidFill>
          </w14:textFill>
        </w:rPr>
        <w:t>付款进度：</w:t>
      </w:r>
    </w:p>
    <w:p w14:paraId="0850140D">
      <w:pPr>
        <w:numPr>
          <w:ilvl w:val="0"/>
          <w:numId w:val="0"/>
        </w:numPr>
        <w:spacing w:line="360" w:lineRule="auto"/>
        <w:ind w:firstLine="480"/>
        <w:jc w:val="left"/>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合同生效后7个工作日内，支付合同总价款的30%；</w:t>
      </w:r>
    </w:p>
    <w:p w14:paraId="46B73755">
      <w:pPr>
        <w:numPr>
          <w:ilvl w:val="0"/>
          <w:numId w:val="0"/>
        </w:numPr>
        <w:spacing w:line="360" w:lineRule="auto"/>
        <w:ind w:firstLine="480"/>
        <w:jc w:val="left"/>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工程完毕并验收合格后10个工作日内，支付至合同总价款的</w:t>
      </w:r>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0%；</w:t>
      </w:r>
    </w:p>
    <w:p w14:paraId="0D12E75F">
      <w:pPr>
        <w:numPr>
          <w:ilvl w:val="0"/>
          <w:numId w:val="0"/>
        </w:num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工程审计后20个工作日内，支付至审计决算金额的100%。</w:t>
      </w:r>
    </w:p>
    <w:p w14:paraId="5FD82096">
      <w:pPr>
        <w:spacing w:line="360" w:lineRule="auto"/>
        <w:ind w:firstLine="480"/>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（二）结算方式为：</w:t>
      </w:r>
      <w:r>
        <w:rPr>
          <w:rFonts w:hint="eastAsia"/>
          <w:color w:val="000000" w:themeColor="text1"/>
          <w:highlight w:val="none"/>
          <w:lang w:val="en-US" w:eastAsia="zh-CN"/>
          <w14:textFill>
            <w14:solidFill>
              <w14:schemeClr w14:val="tx1"/>
            </w14:solidFill>
          </w14:textFill>
        </w:rPr>
        <w:t>固定单价</w:t>
      </w:r>
    </w:p>
    <w:p w14:paraId="03A0A140">
      <w:pPr>
        <w:spacing w:line="360" w:lineRule="auto"/>
        <w:ind w:firstLine="482"/>
        <w:jc w:val="lef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★六、质量要求和验收要求</w:t>
      </w:r>
    </w:p>
    <w:p w14:paraId="28B5A97C">
      <w:pPr>
        <w:spacing w:line="360" w:lineRule="auto"/>
        <w:ind w:firstLine="480"/>
        <w:jc w:val="lef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按国家现行施工规范施工，达到合格标准；工程所需主要材料须选用知名品牌合格产品，并符合国家相关标准及环保要求，通过采购单位组织的验收。</w:t>
      </w:r>
    </w:p>
    <w:p w14:paraId="2EB989ED">
      <w:pPr>
        <w:spacing w:line="360" w:lineRule="auto"/>
        <w:ind w:firstLine="482"/>
        <w:jc w:val="lef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★七、其他要求</w:t>
      </w:r>
    </w:p>
    <w:p w14:paraId="2DA9C28B">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1.中标人</w:t>
      </w:r>
      <w:r>
        <w:rPr>
          <w:rFonts w:hint="eastAsia" w:ascii="宋体" w:hAnsi="宋体" w:cs="宋体"/>
          <w:color w:val="000000" w:themeColor="text1"/>
          <w:sz w:val="24"/>
          <w:highlight w:val="none"/>
          <w14:textFill>
            <w14:solidFill>
              <w14:schemeClr w14:val="tx1"/>
            </w14:solidFill>
          </w14:textFill>
        </w:rPr>
        <w:t>应加强施工人员的安全教育与管理，施工期内发生安全问题，所有责任由</w:t>
      </w:r>
      <w:r>
        <w:rPr>
          <w:rFonts w:hint="eastAsia" w:ascii="宋体" w:hAnsi="宋体" w:cs="宋体"/>
          <w:color w:val="000000" w:themeColor="text1"/>
          <w:sz w:val="24"/>
          <w:highlight w:val="none"/>
          <w:lang w:val="en-US" w:eastAsia="zh-CN"/>
          <w14:textFill>
            <w14:solidFill>
              <w14:schemeClr w14:val="tx1"/>
            </w14:solidFill>
          </w14:textFill>
        </w:rPr>
        <w:t>中标人</w:t>
      </w:r>
      <w:r>
        <w:rPr>
          <w:rFonts w:hint="eastAsia" w:ascii="宋体" w:hAnsi="宋体" w:cs="宋体"/>
          <w:color w:val="000000" w:themeColor="text1"/>
          <w:sz w:val="24"/>
          <w:highlight w:val="none"/>
          <w14:textFill>
            <w14:solidFill>
              <w14:schemeClr w14:val="tx1"/>
            </w14:solidFill>
          </w14:textFill>
        </w:rPr>
        <w:t>承担。</w:t>
      </w:r>
    </w:p>
    <w:p w14:paraId="3F16D18B">
      <w:pPr>
        <w:spacing w:line="360" w:lineRule="auto"/>
        <w:ind w:firstLine="48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2.因本项目分散在几个住宅楼栋的，施工过程中须避免对楼上楼下住户的噪音影响，因噪音影响造成的纠纷由中标人自行解决。</w:t>
      </w:r>
      <w:r>
        <w:rPr>
          <w:rFonts w:hint="eastAsia"/>
          <w:lang w:val="en-US" w:eastAsia="zh-CN"/>
        </w:rPr>
        <w:t>应严格按照《南京市装饰装修管理条例》规定的装修作业时间执行，并采取有效措施，减少振动、降低噪声。</w:t>
      </w:r>
    </w:p>
    <w:p w14:paraId="7556D7A3">
      <w:pPr>
        <w:spacing w:line="360" w:lineRule="auto"/>
        <w:ind w:firstLine="482"/>
        <w:jc w:val="lef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★八、政策要求</w:t>
      </w:r>
    </w:p>
    <w:p w14:paraId="17A3019D">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若使用一级建造师证书电子注册证书编入响应文件的，电子注册证书应当符合相关文件规定，签名图像应当与持证人个人手写签名笔迹一致，证书应当在使用有效期限内。若提供的电子件无法识别有效信息的，视为无效。</w:t>
      </w:r>
      <w:r>
        <w:rPr>
          <w:rFonts w:hint="eastAsia" w:ascii="宋体" w:hAnsi="宋体" w:cs="宋体"/>
          <w:color w:val="000000" w:themeColor="text1"/>
          <w:sz w:val="24"/>
          <w:highlight w:val="none"/>
          <w:lang w:val="en-US"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将自行承担资格审查不通过等相应后果。</w:t>
      </w:r>
    </w:p>
    <w:p w14:paraId="4A82F994">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（二）资质、证书的延续以相关国家、省、市规定为准，如有请将相关证明材料编入</w:t>
      </w:r>
      <w:r>
        <w:rPr>
          <w:rFonts w:hint="eastAsia" w:ascii="宋体" w:hAnsi="宋体" w:cs="宋体"/>
          <w:color w:val="000000" w:themeColor="text1"/>
          <w:sz w:val="24"/>
          <w:highlight w:val="none"/>
          <w:lang w:val="en-US" w:eastAsia="zh-CN"/>
          <w14:textFill>
            <w14:solidFill>
              <w14:schemeClr w14:val="tx1"/>
            </w14:solidFill>
          </w14:textFill>
        </w:rPr>
        <w:t>投标</w:t>
      </w:r>
      <w:r>
        <w:rPr>
          <w:rFonts w:hint="eastAsia" w:ascii="宋体" w:hAnsi="宋体" w:cs="宋体"/>
          <w:color w:val="000000" w:themeColor="text1"/>
          <w:sz w:val="24"/>
          <w:highlight w:val="none"/>
          <w14:textFill>
            <w14:solidFill>
              <w14:schemeClr w14:val="tx1"/>
            </w14:solidFill>
          </w14:textFill>
        </w:rPr>
        <w:t>文件。</w:t>
      </w:r>
    </w:p>
    <w:p w14:paraId="7778494F">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（三）根据建办市[2019]50号文及苏建函建管[2019]393号文规定，已取消一级、二级建造师临时执业证书，因此本项目不接受持临时建造师执业资格的项目负责人投标，否则将作为资格审查不通过处理。</w:t>
      </w:r>
    </w:p>
    <w:p w14:paraId="7E5EC0AA">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根据江苏省住房和城乡建设厅颁发的“省住房和城乡建设厅关于我省二级建造师、二级造价工程师、二级注册建筑师、二级注册结构工程师注册证书电子证照换发的公告”请各供应商自行提供有效且满足采购文件要求的证书。否则</w:t>
      </w:r>
      <w:r>
        <w:rPr>
          <w:rFonts w:hint="eastAsia" w:ascii="宋体" w:hAnsi="宋体" w:cs="宋体"/>
          <w:color w:val="000000" w:themeColor="text1"/>
          <w:sz w:val="24"/>
          <w:highlight w:val="none"/>
          <w:lang w:val="en-US"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将自行承担资格审查不通过等相应后果。</w:t>
      </w:r>
    </w:p>
    <w:p w14:paraId="1D62F59A">
      <w:pPr>
        <w:spacing w:line="360" w:lineRule="auto"/>
        <w:ind w:firstLine="482"/>
        <w:jc w:val="left"/>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★九、主材要求</w:t>
      </w:r>
    </w:p>
    <w:p w14:paraId="18BD03D1">
      <w:pPr>
        <w:spacing w:line="360" w:lineRule="auto"/>
        <w:ind w:firstLine="480"/>
        <w:jc w:val="left"/>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主要材料进场须经采购人确认，本项目采用的主要材料推荐品牌如下表。</w:t>
      </w:r>
    </w:p>
    <w:tbl>
      <w:tblPr>
        <w:tblStyle w:val="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2980"/>
        <w:gridCol w:w="3282"/>
        <w:gridCol w:w="2242"/>
      </w:tblGrid>
      <w:tr w14:paraId="297DB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20" w:type="pct"/>
            <w:noWrap w:val="0"/>
            <w:vAlign w:val="top"/>
          </w:tcPr>
          <w:p w14:paraId="528E42F7">
            <w:pPr>
              <w:keepNext w:val="0"/>
              <w:keepLines w:val="0"/>
              <w:pageBreakBefore w:val="0"/>
              <w:widowControl w:val="0"/>
              <w:spacing w:line="240" w:lineRule="auto"/>
              <w:ind w:firstLine="0"/>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序号</w:t>
            </w:r>
          </w:p>
        </w:tc>
        <w:tc>
          <w:tcPr>
            <w:tcW w:w="1604" w:type="pct"/>
            <w:noWrap w:val="0"/>
            <w:vAlign w:val="top"/>
          </w:tcPr>
          <w:p w14:paraId="736AF4F7">
            <w:pPr>
              <w:keepNext w:val="0"/>
              <w:keepLines w:val="0"/>
              <w:pageBreakBefore w:val="0"/>
              <w:widowControl w:val="0"/>
              <w:spacing w:line="240" w:lineRule="auto"/>
              <w:ind w:firstLine="0"/>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材料名称</w:t>
            </w:r>
          </w:p>
        </w:tc>
        <w:tc>
          <w:tcPr>
            <w:tcW w:w="1767" w:type="pct"/>
            <w:noWrap w:val="0"/>
            <w:vAlign w:val="top"/>
          </w:tcPr>
          <w:p w14:paraId="44B80D48">
            <w:pPr>
              <w:keepNext w:val="0"/>
              <w:keepLines w:val="0"/>
              <w:pageBreakBefore w:val="0"/>
              <w:widowControl w:val="0"/>
              <w:spacing w:line="240" w:lineRule="auto"/>
              <w:ind w:firstLine="0"/>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推荐品牌</w:t>
            </w:r>
          </w:p>
        </w:tc>
        <w:tc>
          <w:tcPr>
            <w:tcW w:w="1207" w:type="pct"/>
            <w:noWrap w:val="0"/>
            <w:vAlign w:val="top"/>
          </w:tcPr>
          <w:p w14:paraId="5026FE45">
            <w:pPr>
              <w:keepNext w:val="0"/>
              <w:keepLines w:val="0"/>
              <w:pageBreakBefore w:val="0"/>
              <w:widowControl w:val="0"/>
              <w:spacing w:line="240" w:lineRule="auto"/>
              <w:ind w:firstLine="0"/>
              <w:jc w:val="cente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备注</w:t>
            </w:r>
          </w:p>
        </w:tc>
      </w:tr>
      <w:tr w14:paraId="5923B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20" w:type="pct"/>
            <w:noWrap w:val="0"/>
            <w:vAlign w:val="top"/>
          </w:tcPr>
          <w:p w14:paraId="50997ED5">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p>
        </w:tc>
        <w:tc>
          <w:tcPr>
            <w:tcW w:w="1604" w:type="pct"/>
            <w:noWrap w:val="0"/>
            <w:vAlign w:val="top"/>
          </w:tcPr>
          <w:p w14:paraId="510B8C42">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玻璃</w:t>
            </w:r>
          </w:p>
        </w:tc>
        <w:tc>
          <w:tcPr>
            <w:tcW w:w="1767" w:type="pct"/>
            <w:noWrap w:val="0"/>
            <w:vAlign w:val="top"/>
          </w:tcPr>
          <w:p w14:paraId="05BFB9B7">
            <w:pPr>
              <w:keepNext w:val="0"/>
              <w:keepLines w:val="0"/>
              <w:pageBreakBefore w:val="0"/>
              <w:widowControl w:val="0"/>
              <w:numPr>
                <w:ilvl w:val="0"/>
                <w:numId w:val="0"/>
              </w:numPr>
              <w:suppressLineNumbers w:val="0"/>
              <w:tabs>
                <w:tab w:val="left" w:pos="720"/>
              </w:tabs>
              <w:spacing w:before="0" w:beforeAutospacing="0" w:afterAutospacing="0" w:line="240" w:lineRule="auto"/>
              <w:ind w:left="0"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南玻、耀皮、信义</w:t>
            </w:r>
          </w:p>
        </w:tc>
        <w:tc>
          <w:tcPr>
            <w:tcW w:w="1207" w:type="pct"/>
            <w:noWrap w:val="0"/>
            <w:vAlign w:val="top"/>
          </w:tcPr>
          <w:p w14:paraId="6061F298">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所有产品及规格</w:t>
            </w:r>
          </w:p>
        </w:tc>
      </w:tr>
      <w:tr w14:paraId="5C37F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20" w:type="pct"/>
            <w:noWrap w:val="0"/>
            <w:vAlign w:val="top"/>
          </w:tcPr>
          <w:p w14:paraId="36B8D4EC">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p>
        </w:tc>
        <w:tc>
          <w:tcPr>
            <w:tcW w:w="1604" w:type="pct"/>
            <w:noWrap w:val="0"/>
            <w:vAlign w:val="top"/>
          </w:tcPr>
          <w:p w14:paraId="3AE0F7A1">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铝型材</w:t>
            </w:r>
          </w:p>
        </w:tc>
        <w:tc>
          <w:tcPr>
            <w:tcW w:w="1767" w:type="pct"/>
            <w:noWrap w:val="0"/>
            <w:vAlign w:val="top"/>
          </w:tcPr>
          <w:p w14:paraId="0C776DAD">
            <w:pPr>
              <w:keepNext w:val="0"/>
              <w:keepLines w:val="0"/>
              <w:pageBreakBefore w:val="0"/>
              <w:widowControl w:val="0"/>
              <w:numPr>
                <w:ilvl w:val="0"/>
                <w:numId w:val="0"/>
              </w:numPr>
              <w:suppressLineNumbers w:val="0"/>
              <w:tabs>
                <w:tab w:val="left" w:pos="720"/>
              </w:tabs>
              <w:spacing w:before="0" w:beforeAutospacing="0" w:afterAutospacing="0" w:line="240" w:lineRule="auto"/>
              <w:ind w:left="0"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伟昌、凤铝，福客莱</w:t>
            </w:r>
          </w:p>
        </w:tc>
        <w:tc>
          <w:tcPr>
            <w:tcW w:w="1207" w:type="pct"/>
            <w:noWrap w:val="0"/>
            <w:vAlign w:val="top"/>
          </w:tcPr>
          <w:p w14:paraId="7580012A">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所有产品及规格</w:t>
            </w:r>
          </w:p>
        </w:tc>
      </w:tr>
      <w:tr w14:paraId="08DB2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20" w:type="pct"/>
            <w:noWrap w:val="0"/>
            <w:vAlign w:val="top"/>
          </w:tcPr>
          <w:p w14:paraId="2DDB1C48">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p>
        </w:tc>
        <w:tc>
          <w:tcPr>
            <w:tcW w:w="1604" w:type="pct"/>
            <w:noWrap w:val="0"/>
            <w:vAlign w:val="top"/>
          </w:tcPr>
          <w:p w14:paraId="03905734">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不锈钢</w:t>
            </w:r>
          </w:p>
        </w:tc>
        <w:tc>
          <w:tcPr>
            <w:tcW w:w="1767" w:type="pct"/>
            <w:noWrap w:val="0"/>
            <w:vAlign w:val="top"/>
          </w:tcPr>
          <w:p w14:paraId="697A7A7B">
            <w:pPr>
              <w:keepNext w:val="0"/>
              <w:keepLines w:val="0"/>
              <w:pageBreakBefore w:val="0"/>
              <w:widowControl w:val="0"/>
              <w:numPr>
                <w:ilvl w:val="0"/>
                <w:numId w:val="0"/>
              </w:numPr>
              <w:suppressLineNumbers w:val="0"/>
              <w:tabs>
                <w:tab w:val="left" w:pos="720"/>
              </w:tabs>
              <w:spacing w:before="0" w:beforeAutospacing="0" w:afterAutospacing="0" w:line="240" w:lineRule="auto"/>
              <w:ind w:left="0"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华诚、信亚、金雅</w:t>
            </w:r>
          </w:p>
        </w:tc>
        <w:tc>
          <w:tcPr>
            <w:tcW w:w="1207" w:type="pct"/>
            <w:noWrap w:val="0"/>
            <w:vAlign w:val="top"/>
          </w:tcPr>
          <w:p w14:paraId="083BB456">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所有产品及规格</w:t>
            </w:r>
          </w:p>
        </w:tc>
      </w:tr>
      <w:tr w14:paraId="08373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20" w:type="pct"/>
            <w:noWrap w:val="0"/>
            <w:vAlign w:val="top"/>
          </w:tcPr>
          <w:p w14:paraId="071684E5">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p>
        </w:tc>
        <w:tc>
          <w:tcPr>
            <w:tcW w:w="1604" w:type="pct"/>
            <w:noWrap w:val="0"/>
            <w:vAlign w:val="top"/>
          </w:tcPr>
          <w:p w14:paraId="78E024E2">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乳胶漆</w:t>
            </w:r>
          </w:p>
        </w:tc>
        <w:tc>
          <w:tcPr>
            <w:tcW w:w="1767" w:type="pct"/>
            <w:noWrap w:val="0"/>
            <w:vAlign w:val="top"/>
          </w:tcPr>
          <w:p w14:paraId="4FA8DBC5">
            <w:pPr>
              <w:keepNext w:val="0"/>
              <w:keepLines w:val="0"/>
              <w:pageBreakBefore w:val="0"/>
              <w:widowControl w:val="0"/>
              <w:numPr>
                <w:ilvl w:val="0"/>
                <w:numId w:val="0"/>
              </w:numPr>
              <w:suppressLineNumbers w:val="0"/>
              <w:tabs>
                <w:tab w:val="left" w:pos="720"/>
              </w:tabs>
              <w:spacing w:before="0" w:beforeAutospacing="0" w:afterAutospacing="0" w:line="240" w:lineRule="auto"/>
              <w:ind w:left="0"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立邦、多乐士、三棵树</w:t>
            </w:r>
          </w:p>
        </w:tc>
        <w:tc>
          <w:tcPr>
            <w:tcW w:w="1207" w:type="pct"/>
            <w:noWrap w:val="0"/>
            <w:vAlign w:val="top"/>
          </w:tcPr>
          <w:p w14:paraId="646DA6AC">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所有产品及规格</w:t>
            </w:r>
          </w:p>
        </w:tc>
      </w:tr>
      <w:tr w14:paraId="7B313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20" w:type="pct"/>
            <w:noWrap w:val="0"/>
            <w:vAlign w:val="top"/>
          </w:tcPr>
          <w:p w14:paraId="43ACAA36">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1604" w:type="pct"/>
            <w:noWrap w:val="0"/>
            <w:vAlign w:val="top"/>
          </w:tcPr>
          <w:p w14:paraId="55C4C7AF">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网线</w:t>
            </w:r>
          </w:p>
        </w:tc>
        <w:tc>
          <w:tcPr>
            <w:tcW w:w="1767" w:type="pct"/>
            <w:noWrap w:val="0"/>
            <w:vAlign w:val="top"/>
          </w:tcPr>
          <w:p w14:paraId="09D4943A">
            <w:pPr>
              <w:keepNext w:val="0"/>
              <w:keepLines w:val="0"/>
              <w:pageBreakBefore w:val="0"/>
              <w:widowControl w:val="0"/>
              <w:numPr>
                <w:ilvl w:val="0"/>
                <w:numId w:val="0"/>
              </w:numPr>
              <w:suppressLineNumbers w:val="0"/>
              <w:tabs>
                <w:tab w:val="left" w:pos="720"/>
              </w:tabs>
              <w:spacing w:before="0" w:beforeAutospacing="0" w:afterAutospacing="0" w:line="240" w:lineRule="auto"/>
              <w:ind w:left="0"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安普，普天，秋叶原</w:t>
            </w:r>
          </w:p>
        </w:tc>
        <w:tc>
          <w:tcPr>
            <w:tcW w:w="1207" w:type="pct"/>
            <w:noWrap w:val="0"/>
            <w:vAlign w:val="top"/>
          </w:tcPr>
          <w:p w14:paraId="29C35C78">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所有产品及规格</w:t>
            </w:r>
          </w:p>
        </w:tc>
      </w:tr>
      <w:tr w14:paraId="2BADA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20" w:type="pct"/>
            <w:noWrap w:val="0"/>
            <w:vAlign w:val="top"/>
          </w:tcPr>
          <w:p w14:paraId="57E09CC4">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p>
        </w:tc>
        <w:tc>
          <w:tcPr>
            <w:tcW w:w="1604" w:type="pct"/>
            <w:noWrap w:val="0"/>
            <w:vAlign w:val="top"/>
          </w:tcPr>
          <w:p w14:paraId="198120AF">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板材</w:t>
            </w:r>
          </w:p>
        </w:tc>
        <w:tc>
          <w:tcPr>
            <w:tcW w:w="1767" w:type="pct"/>
            <w:noWrap w:val="0"/>
            <w:vAlign w:val="top"/>
          </w:tcPr>
          <w:p w14:paraId="488E3BD5">
            <w:pPr>
              <w:keepNext w:val="0"/>
              <w:keepLines w:val="0"/>
              <w:pageBreakBefore w:val="0"/>
              <w:widowControl w:val="0"/>
              <w:numPr>
                <w:ilvl w:val="0"/>
                <w:numId w:val="0"/>
              </w:numPr>
              <w:suppressLineNumbers w:val="0"/>
              <w:tabs>
                <w:tab w:val="left" w:pos="720"/>
              </w:tabs>
              <w:spacing w:before="0" w:beforeAutospacing="0" w:afterAutospacing="0" w:line="240" w:lineRule="auto"/>
              <w:ind w:left="0"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绿野，大王椰，亿邦</w:t>
            </w:r>
          </w:p>
        </w:tc>
        <w:tc>
          <w:tcPr>
            <w:tcW w:w="1207" w:type="pct"/>
            <w:noWrap w:val="0"/>
            <w:vAlign w:val="top"/>
          </w:tcPr>
          <w:p w14:paraId="54A8E0EF">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所有产品及规格</w:t>
            </w:r>
          </w:p>
        </w:tc>
      </w:tr>
      <w:tr w14:paraId="13CC8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20" w:type="pct"/>
            <w:noWrap w:val="0"/>
            <w:vAlign w:val="top"/>
          </w:tcPr>
          <w:p w14:paraId="6FDFD238">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p>
        </w:tc>
        <w:tc>
          <w:tcPr>
            <w:tcW w:w="1604" w:type="pct"/>
            <w:noWrap w:val="0"/>
            <w:vAlign w:val="top"/>
          </w:tcPr>
          <w:p w14:paraId="615C7984">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灯具</w:t>
            </w:r>
          </w:p>
        </w:tc>
        <w:tc>
          <w:tcPr>
            <w:tcW w:w="1767" w:type="pct"/>
            <w:noWrap w:val="0"/>
            <w:vAlign w:val="top"/>
          </w:tcPr>
          <w:p w14:paraId="068FCBB5">
            <w:pPr>
              <w:keepNext w:val="0"/>
              <w:keepLines w:val="0"/>
              <w:pageBreakBefore w:val="0"/>
              <w:widowControl w:val="0"/>
              <w:numPr>
                <w:ilvl w:val="0"/>
                <w:numId w:val="0"/>
              </w:numPr>
              <w:suppressLineNumbers w:val="0"/>
              <w:tabs>
                <w:tab w:val="left" w:pos="720"/>
              </w:tabs>
              <w:spacing w:before="0" w:beforeAutospacing="0" w:afterAutospacing="0" w:line="240" w:lineRule="auto"/>
              <w:ind w:left="0"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雷士、欧普、公牛</w:t>
            </w:r>
          </w:p>
        </w:tc>
        <w:tc>
          <w:tcPr>
            <w:tcW w:w="1207" w:type="pct"/>
            <w:noWrap w:val="0"/>
            <w:vAlign w:val="top"/>
          </w:tcPr>
          <w:p w14:paraId="79540424">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所有产品及规格</w:t>
            </w:r>
          </w:p>
        </w:tc>
      </w:tr>
      <w:tr w14:paraId="6654D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20" w:type="pct"/>
            <w:noWrap w:val="0"/>
            <w:vAlign w:val="top"/>
          </w:tcPr>
          <w:p w14:paraId="312A31B3">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1604" w:type="pct"/>
            <w:noWrap w:val="0"/>
            <w:vAlign w:val="top"/>
          </w:tcPr>
          <w:p w14:paraId="43D44039">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矿棉板</w:t>
            </w:r>
          </w:p>
        </w:tc>
        <w:tc>
          <w:tcPr>
            <w:tcW w:w="1767" w:type="pct"/>
            <w:noWrap w:val="0"/>
            <w:vAlign w:val="top"/>
          </w:tcPr>
          <w:p w14:paraId="32F8B258">
            <w:pPr>
              <w:keepNext w:val="0"/>
              <w:keepLines w:val="0"/>
              <w:pageBreakBefore w:val="0"/>
              <w:widowControl w:val="0"/>
              <w:numPr>
                <w:ilvl w:val="0"/>
                <w:numId w:val="0"/>
              </w:numPr>
              <w:suppressLineNumbers w:val="0"/>
              <w:tabs>
                <w:tab w:val="left" w:pos="720"/>
              </w:tabs>
              <w:spacing w:before="0" w:beforeAutospacing="0" w:afterAutospacing="0" w:line="240" w:lineRule="auto"/>
              <w:ind w:left="0"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阿姆斯壮、龙牌、泰山</w:t>
            </w:r>
          </w:p>
        </w:tc>
        <w:tc>
          <w:tcPr>
            <w:tcW w:w="1207" w:type="pct"/>
            <w:noWrap w:val="0"/>
            <w:vAlign w:val="top"/>
          </w:tcPr>
          <w:p w14:paraId="48C9FE39">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所有产品及规格</w:t>
            </w:r>
          </w:p>
        </w:tc>
      </w:tr>
      <w:tr w14:paraId="4A1D8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20" w:type="pct"/>
            <w:noWrap w:val="0"/>
            <w:vAlign w:val="top"/>
          </w:tcPr>
          <w:p w14:paraId="2476D2AD">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p>
        </w:tc>
        <w:tc>
          <w:tcPr>
            <w:tcW w:w="1604" w:type="pct"/>
            <w:noWrap w:val="0"/>
            <w:vAlign w:val="top"/>
          </w:tcPr>
          <w:p w14:paraId="6EA8D5B4">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开关、插座</w:t>
            </w:r>
          </w:p>
        </w:tc>
        <w:tc>
          <w:tcPr>
            <w:tcW w:w="1767" w:type="pct"/>
            <w:noWrap w:val="0"/>
            <w:vAlign w:val="top"/>
          </w:tcPr>
          <w:p w14:paraId="513FB30B">
            <w:pPr>
              <w:keepNext w:val="0"/>
              <w:keepLines w:val="0"/>
              <w:pageBreakBefore w:val="0"/>
              <w:widowControl w:val="0"/>
              <w:numPr>
                <w:ilvl w:val="0"/>
                <w:numId w:val="0"/>
              </w:numPr>
              <w:suppressLineNumbers w:val="0"/>
              <w:tabs>
                <w:tab w:val="left" w:pos="720"/>
              </w:tabs>
              <w:spacing w:before="0" w:beforeAutospacing="0" w:afterAutospacing="0" w:line="240" w:lineRule="auto"/>
              <w:ind w:left="0"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西门子、公牛、施耐德</w:t>
            </w:r>
          </w:p>
        </w:tc>
        <w:tc>
          <w:tcPr>
            <w:tcW w:w="1207" w:type="pct"/>
            <w:noWrap w:val="0"/>
            <w:vAlign w:val="top"/>
          </w:tcPr>
          <w:p w14:paraId="062D3403">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所有产品及规格</w:t>
            </w:r>
          </w:p>
        </w:tc>
      </w:tr>
      <w:tr w14:paraId="71A03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20" w:type="pct"/>
            <w:noWrap w:val="0"/>
            <w:vAlign w:val="top"/>
          </w:tcPr>
          <w:p w14:paraId="0AD75CEF">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tc>
        <w:tc>
          <w:tcPr>
            <w:tcW w:w="1604" w:type="pct"/>
            <w:noWrap w:val="0"/>
            <w:vAlign w:val="top"/>
          </w:tcPr>
          <w:p w14:paraId="48D958EB">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电线</w:t>
            </w:r>
          </w:p>
        </w:tc>
        <w:tc>
          <w:tcPr>
            <w:tcW w:w="1767" w:type="pct"/>
            <w:noWrap w:val="0"/>
            <w:vAlign w:val="top"/>
          </w:tcPr>
          <w:p w14:paraId="6BD945E4">
            <w:pPr>
              <w:keepNext w:val="0"/>
              <w:keepLines w:val="0"/>
              <w:pageBreakBefore w:val="0"/>
              <w:widowControl w:val="0"/>
              <w:numPr>
                <w:ilvl w:val="0"/>
                <w:numId w:val="0"/>
              </w:numPr>
              <w:suppressLineNumbers w:val="0"/>
              <w:tabs>
                <w:tab w:val="left" w:pos="720"/>
              </w:tabs>
              <w:spacing w:before="0" w:beforeAutospacing="0" w:afterAutospacing="0" w:line="240" w:lineRule="auto"/>
              <w:ind w:left="0"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正泰、远东、江南</w:t>
            </w:r>
          </w:p>
        </w:tc>
        <w:tc>
          <w:tcPr>
            <w:tcW w:w="1207" w:type="pct"/>
            <w:noWrap w:val="0"/>
            <w:vAlign w:val="top"/>
          </w:tcPr>
          <w:p w14:paraId="53CCD8D0">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所有产品及规格</w:t>
            </w:r>
          </w:p>
        </w:tc>
      </w:tr>
      <w:tr w14:paraId="493E9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20" w:type="pct"/>
            <w:noWrap w:val="0"/>
            <w:vAlign w:val="top"/>
          </w:tcPr>
          <w:p w14:paraId="00C3B70A">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w:t>
            </w:r>
          </w:p>
        </w:tc>
        <w:tc>
          <w:tcPr>
            <w:tcW w:w="1604" w:type="pct"/>
            <w:noWrap w:val="0"/>
            <w:vAlign w:val="top"/>
          </w:tcPr>
          <w:p w14:paraId="3048B8D3">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木质套装门（实木）</w:t>
            </w:r>
          </w:p>
        </w:tc>
        <w:tc>
          <w:tcPr>
            <w:tcW w:w="1767" w:type="pct"/>
            <w:noWrap w:val="0"/>
            <w:vAlign w:val="top"/>
          </w:tcPr>
          <w:p w14:paraId="7E68BD24">
            <w:pPr>
              <w:keepNext w:val="0"/>
              <w:keepLines w:val="0"/>
              <w:pageBreakBefore w:val="0"/>
              <w:widowControl w:val="0"/>
              <w:numPr>
                <w:ilvl w:val="0"/>
                <w:numId w:val="0"/>
              </w:numPr>
              <w:suppressLineNumbers w:val="0"/>
              <w:tabs>
                <w:tab w:val="left" w:pos="720"/>
              </w:tabs>
              <w:spacing w:before="0" w:beforeAutospacing="0" w:afterAutospacing="0" w:line="240" w:lineRule="auto"/>
              <w:ind w:left="0"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欧派，金福聚，志腾</w:t>
            </w:r>
          </w:p>
        </w:tc>
        <w:tc>
          <w:tcPr>
            <w:tcW w:w="1207" w:type="pct"/>
            <w:noWrap w:val="0"/>
            <w:vAlign w:val="top"/>
          </w:tcPr>
          <w:p w14:paraId="6D4A2BBF">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所有产品及规格</w:t>
            </w:r>
          </w:p>
        </w:tc>
      </w:tr>
      <w:tr w14:paraId="713FC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20" w:type="pct"/>
            <w:noWrap w:val="0"/>
            <w:vAlign w:val="top"/>
          </w:tcPr>
          <w:p w14:paraId="6A01C311">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w:t>
            </w:r>
          </w:p>
        </w:tc>
        <w:tc>
          <w:tcPr>
            <w:tcW w:w="1604" w:type="pct"/>
            <w:noWrap w:val="0"/>
            <w:vAlign w:val="top"/>
          </w:tcPr>
          <w:p w14:paraId="127F454E">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复合地板</w:t>
            </w:r>
          </w:p>
        </w:tc>
        <w:tc>
          <w:tcPr>
            <w:tcW w:w="1767" w:type="pct"/>
            <w:noWrap w:val="0"/>
            <w:vAlign w:val="top"/>
          </w:tcPr>
          <w:p w14:paraId="24C7847A">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杨子地板、生活家、圣象</w:t>
            </w:r>
          </w:p>
        </w:tc>
        <w:tc>
          <w:tcPr>
            <w:tcW w:w="1207" w:type="pct"/>
            <w:noWrap w:val="0"/>
            <w:vAlign w:val="top"/>
          </w:tcPr>
          <w:p w14:paraId="6AE5B4A2">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所有产品及规格</w:t>
            </w:r>
          </w:p>
        </w:tc>
      </w:tr>
      <w:tr w14:paraId="6A975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20" w:type="pct"/>
            <w:noWrap w:val="0"/>
            <w:vAlign w:val="top"/>
          </w:tcPr>
          <w:p w14:paraId="4831B4FA">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13</w:t>
            </w:r>
          </w:p>
        </w:tc>
        <w:tc>
          <w:tcPr>
            <w:tcW w:w="1604" w:type="pct"/>
            <w:noWrap w:val="0"/>
            <w:vAlign w:val="top"/>
          </w:tcPr>
          <w:p w14:paraId="62D860EA">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瓷砖</w:t>
            </w:r>
          </w:p>
        </w:tc>
        <w:tc>
          <w:tcPr>
            <w:tcW w:w="1767" w:type="pct"/>
            <w:noWrap w:val="0"/>
            <w:vAlign w:val="top"/>
          </w:tcPr>
          <w:p w14:paraId="4CCBBB3A">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格莱斯、东鹏、冠军A陶</w:t>
            </w:r>
          </w:p>
        </w:tc>
        <w:tc>
          <w:tcPr>
            <w:tcW w:w="1207" w:type="pct"/>
            <w:noWrap w:val="0"/>
            <w:vAlign w:val="top"/>
          </w:tcPr>
          <w:p w14:paraId="5F3CF137">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所有产品及规格</w:t>
            </w:r>
          </w:p>
        </w:tc>
      </w:tr>
      <w:tr w14:paraId="4D3B2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20" w:type="pct"/>
            <w:noWrap w:val="0"/>
            <w:vAlign w:val="top"/>
          </w:tcPr>
          <w:p w14:paraId="065A21A9">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14</w:t>
            </w:r>
          </w:p>
        </w:tc>
        <w:tc>
          <w:tcPr>
            <w:tcW w:w="1604" w:type="pct"/>
            <w:noWrap w:val="0"/>
            <w:vAlign w:val="top"/>
          </w:tcPr>
          <w:p w14:paraId="1B72C913">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龙头、洁具</w:t>
            </w:r>
          </w:p>
        </w:tc>
        <w:tc>
          <w:tcPr>
            <w:tcW w:w="1767" w:type="pct"/>
            <w:noWrap w:val="0"/>
            <w:vAlign w:val="top"/>
          </w:tcPr>
          <w:p w14:paraId="236A50D9">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箭牌，九牧，法恩莎</w:t>
            </w:r>
          </w:p>
        </w:tc>
        <w:tc>
          <w:tcPr>
            <w:tcW w:w="1207" w:type="pct"/>
            <w:noWrap w:val="0"/>
            <w:vAlign w:val="top"/>
          </w:tcPr>
          <w:p w14:paraId="482303B3">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所有产品及规格</w:t>
            </w:r>
          </w:p>
        </w:tc>
      </w:tr>
      <w:tr w14:paraId="4B7A6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20" w:type="pct"/>
            <w:noWrap w:val="0"/>
            <w:vAlign w:val="top"/>
          </w:tcPr>
          <w:p w14:paraId="73FC7812">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15</w:t>
            </w:r>
          </w:p>
        </w:tc>
        <w:tc>
          <w:tcPr>
            <w:tcW w:w="1604" w:type="pct"/>
            <w:noWrap w:val="0"/>
            <w:vAlign w:val="top"/>
          </w:tcPr>
          <w:p w14:paraId="32078FC7">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水泥</w:t>
            </w:r>
          </w:p>
        </w:tc>
        <w:tc>
          <w:tcPr>
            <w:tcW w:w="1767" w:type="pct"/>
            <w:noWrap w:val="0"/>
            <w:vAlign w:val="top"/>
          </w:tcPr>
          <w:p w14:paraId="17E84E99">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海螺、江南、鹤林</w:t>
            </w:r>
          </w:p>
        </w:tc>
        <w:tc>
          <w:tcPr>
            <w:tcW w:w="1207" w:type="pct"/>
            <w:noWrap w:val="0"/>
            <w:vAlign w:val="top"/>
          </w:tcPr>
          <w:p w14:paraId="56C5D7CF">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所有产品及规格</w:t>
            </w:r>
          </w:p>
        </w:tc>
      </w:tr>
      <w:tr w14:paraId="565D6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20" w:type="pct"/>
            <w:noWrap w:val="0"/>
            <w:vAlign w:val="top"/>
          </w:tcPr>
          <w:p w14:paraId="5DD6C97D">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16</w:t>
            </w:r>
          </w:p>
        </w:tc>
        <w:tc>
          <w:tcPr>
            <w:tcW w:w="1604" w:type="pct"/>
            <w:noWrap w:val="0"/>
            <w:vAlign w:val="top"/>
          </w:tcPr>
          <w:p w14:paraId="5731CFA7">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铝板吊顶（厚度≥0.8mm）</w:t>
            </w:r>
          </w:p>
        </w:tc>
        <w:tc>
          <w:tcPr>
            <w:tcW w:w="1767" w:type="pct"/>
            <w:noWrap w:val="0"/>
            <w:vAlign w:val="top"/>
          </w:tcPr>
          <w:p w14:paraId="0B742237">
            <w:pPr>
              <w:keepNext w:val="0"/>
              <w:keepLines w:val="0"/>
              <w:pageBreakBefore w:val="0"/>
              <w:widowControl w:val="0"/>
              <w:numPr>
                <w:ilvl w:val="0"/>
                <w:numId w:val="0"/>
              </w:numPr>
              <w:suppressLineNumbers w:val="0"/>
              <w:tabs>
                <w:tab w:val="left" w:pos="720"/>
              </w:tabs>
              <w:spacing w:before="0" w:beforeAutospacing="0" w:afterAutospacing="0" w:line="240" w:lineRule="auto"/>
              <w:ind w:left="0"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奥华、聆听、宝兰</w:t>
            </w:r>
          </w:p>
        </w:tc>
        <w:tc>
          <w:tcPr>
            <w:tcW w:w="1207" w:type="pct"/>
            <w:noWrap w:val="0"/>
            <w:vAlign w:val="top"/>
          </w:tcPr>
          <w:p w14:paraId="2DD1957F">
            <w:pPr>
              <w:keepNext w:val="0"/>
              <w:keepLines w:val="0"/>
              <w:pageBreakBefore w:val="0"/>
              <w:widowControl w:val="0"/>
              <w:numPr>
                <w:ilvl w:val="0"/>
                <w:numId w:val="0"/>
              </w:numPr>
              <w:suppressLineNumbers w:val="0"/>
              <w:tabs>
                <w:tab w:val="left" w:pos="720"/>
              </w:tabs>
              <w:spacing w:before="0" w:beforeAutospacing="0" w:afterAutospacing="0" w:line="240" w:lineRule="auto"/>
              <w:ind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所有产品及规格</w:t>
            </w:r>
          </w:p>
        </w:tc>
      </w:tr>
    </w:tbl>
    <w:p w14:paraId="3185BF67">
      <w:pPr>
        <w:spacing w:line="360" w:lineRule="auto"/>
        <w:ind w:firstLine="480"/>
        <w:jc w:val="left"/>
        <w:rPr>
          <w:rFonts w:hint="default" w:ascii="宋体" w:hAnsi="宋体" w:eastAsia="宋体" w:cs="宋体"/>
          <w:b w:val="0"/>
          <w:bCs w:val="0"/>
          <w:color w:val="000000" w:themeColor="text1"/>
          <w:sz w:val="24"/>
          <w:highlight w:val="none"/>
          <w:lang w:val="en-US" w:eastAsia="zh-CN"/>
          <w14:textFill>
            <w14:solidFill>
              <w14:schemeClr w14:val="tx1"/>
            </w14:solidFill>
          </w14:textFill>
        </w:rPr>
      </w:pPr>
      <w:r>
        <w:rPr>
          <w:rFonts w:hint="default" w:ascii="宋体" w:hAnsi="宋体" w:eastAsia="宋体" w:cs="宋体"/>
          <w:b w:val="0"/>
          <w:bCs w:val="0"/>
          <w:color w:val="000000" w:themeColor="text1"/>
          <w:sz w:val="24"/>
          <w:highlight w:val="none"/>
          <w:lang w:val="en-US" w:eastAsia="zh-CN"/>
          <w14:textFill>
            <w14:solidFill>
              <w14:schemeClr w14:val="tx1"/>
            </w14:solidFill>
          </w14:textFill>
        </w:rPr>
        <w:t>在实施过程中，如</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投标人</w:t>
      </w:r>
      <w:r>
        <w:rPr>
          <w:rFonts w:hint="default" w:ascii="宋体" w:hAnsi="宋体" w:eastAsia="宋体" w:cs="宋体"/>
          <w:b w:val="0"/>
          <w:bCs w:val="0"/>
          <w:color w:val="000000" w:themeColor="text1"/>
          <w:sz w:val="24"/>
          <w:highlight w:val="none"/>
          <w:lang w:val="en-US" w:eastAsia="zh-CN"/>
          <w14:textFill>
            <w14:solidFill>
              <w14:schemeClr w14:val="tx1"/>
            </w14:solidFill>
          </w14:textFill>
        </w:rPr>
        <w:t>选择推荐品牌外的产品，需提供承诺品牌满足同档次及以上的证明材料，经采购人确认后方可使用，否则采购人有权要求更换为推荐品牌中任一品牌的同质产品。</w:t>
      </w:r>
    </w:p>
    <w:p w14:paraId="0D092161">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p>
    <w:p w14:paraId="162A9267">
      <w:pPr>
        <w:pStyle w:val="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第五章  合同主要条款及格式</w:t>
      </w:r>
    </w:p>
    <w:p w14:paraId="647F56ED">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以下为中标后签订本项目合同的通用条款，中标人不得提出实质性的修改，关于专用条款将由采购人与中标人结合本项目具体情况协商后签订。</w:t>
      </w:r>
    </w:p>
    <w:p w14:paraId="43F590BC">
      <w:pPr>
        <w:rPr>
          <w:rFonts w:hint="eastAsia"/>
          <w:color w:val="000000" w:themeColor="text1"/>
          <w:highlight w:val="none"/>
          <w14:textFill>
            <w14:solidFill>
              <w14:schemeClr w14:val="tx1"/>
            </w14:solidFill>
          </w14:textFill>
        </w:rPr>
      </w:pPr>
    </w:p>
    <w:p w14:paraId="429A8B20">
      <w:pPr>
        <w:spacing w:line="360" w:lineRule="auto"/>
        <w:jc w:val="righ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合同编号：</w:t>
      </w:r>
    </w:p>
    <w:p w14:paraId="296A6FB8">
      <w:pPr>
        <w:keepNext w:val="0"/>
        <w:keepLines w:val="0"/>
        <w:pageBreakBefore w:val="0"/>
        <w:widowControl w:val="0"/>
        <w:spacing w:line="360" w:lineRule="auto"/>
        <w:ind w:firstLine="0"/>
        <w:jc w:val="center"/>
        <w:rPr>
          <w:rFonts w:hint="eastAsia" w:ascii="宋体" w:hAnsi="宋体" w:cs="宋体"/>
          <w:color w:val="000000" w:themeColor="text1"/>
          <w:sz w:val="40"/>
          <w:szCs w:val="40"/>
          <w:highlight w:val="none"/>
          <w14:textFill>
            <w14:solidFill>
              <w14:schemeClr w14:val="tx1"/>
            </w14:solidFill>
          </w14:textFill>
        </w:rPr>
      </w:pPr>
      <w:r>
        <w:rPr>
          <w:rFonts w:hint="eastAsia" w:ascii="宋体" w:hAnsi="宋体" w:cs="宋体"/>
          <w:color w:val="000000" w:themeColor="text1"/>
          <w:sz w:val="40"/>
          <w:szCs w:val="40"/>
          <w:highlight w:val="none"/>
          <w:lang w:eastAsia="zh-CN"/>
          <w14:textFill>
            <w14:solidFill>
              <w14:schemeClr w14:val="tx1"/>
            </w14:solidFill>
          </w14:textFill>
        </w:rPr>
        <w:t>仙林校区及周边存量房出新改造</w:t>
      </w:r>
      <w:r>
        <w:rPr>
          <w:rFonts w:hint="eastAsia" w:ascii="宋体" w:hAnsi="宋体" w:cs="宋体"/>
          <w:color w:val="000000" w:themeColor="text1"/>
          <w:sz w:val="40"/>
          <w:szCs w:val="40"/>
          <w:highlight w:val="none"/>
          <w14:textFill>
            <w14:solidFill>
              <w14:schemeClr w14:val="tx1"/>
            </w14:solidFill>
          </w14:textFill>
        </w:rPr>
        <w:t>工程合同</w:t>
      </w:r>
    </w:p>
    <w:p w14:paraId="1362697F">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发包方（甲方）：南京师范大学</w:t>
      </w:r>
    </w:p>
    <w:p w14:paraId="0C36BDB4">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签订地点：</w:t>
      </w:r>
    </w:p>
    <w:p w14:paraId="613F3B55">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承包方（乙方）：                                   签订日期：</w:t>
      </w:r>
    </w:p>
    <w:p w14:paraId="5838B1D2">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按照《中华人民共和国民法典》、《中华人民共和国建筑法》等有关规定，结合本工程具体情况，双方达成如下协议：</w:t>
      </w:r>
    </w:p>
    <w:p w14:paraId="46C09FB3">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第1条 工程概况</w:t>
      </w:r>
    </w:p>
    <w:p w14:paraId="76A56BD8">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1.1、工程名称：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（具体到校区、楼宇、房号、路段等）</w:t>
      </w:r>
    </w:p>
    <w:p w14:paraId="6750EA34">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1.2、工程地点：南京师范大学</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校区</w:t>
      </w:r>
    </w:p>
    <w:p w14:paraId="568B1289">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1.3、承包范围：</w:t>
      </w:r>
      <w:r>
        <w:rPr>
          <w:rFonts w:hint="eastAsia" w:ascii="宋体" w:hAnsi="宋体" w:cs="宋体"/>
          <w:color w:val="000000" w:themeColor="text1"/>
          <w:sz w:val="24"/>
          <w:highlight w:val="none"/>
          <w:u w:val="single"/>
          <w14:textFill>
            <w14:solidFill>
              <w14:schemeClr w14:val="tx1"/>
            </w14:solidFill>
          </w14:textFill>
        </w:rPr>
        <w:t xml:space="preserve">                                                 </w:t>
      </w:r>
    </w:p>
    <w:p w14:paraId="1CE684EF">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1.4、承包方式：</w:t>
      </w:r>
      <w:r>
        <w:rPr>
          <w:rFonts w:hint="eastAsia" w:ascii="宋体" w:hAnsi="宋体" w:cs="宋体"/>
          <w:color w:val="000000" w:themeColor="text1"/>
          <w:sz w:val="24"/>
          <w:highlight w:val="none"/>
          <w:u w:val="single"/>
          <w14:textFill>
            <w14:solidFill>
              <w14:schemeClr w14:val="tx1"/>
            </w14:solidFill>
          </w14:textFill>
        </w:rPr>
        <w:t xml:space="preserve">                                                 </w:t>
      </w:r>
    </w:p>
    <w:p w14:paraId="0980C814">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天。开工：</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日，竣工：</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14:paraId="243B365A">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1.6、工程质量：</w:t>
      </w:r>
      <w:r>
        <w:rPr>
          <w:rFonts w:hint="eastAsia" w:ascii="宋体" w:hAnsi="宋体" w:cs="宋体"/>
          <w:color w:val="000000" w:themeColor="text1"/>
          <w:sz w:val="24"/>
          <w:highlight w:val="none"/>
          <w:u w:val="single"/>
          <w14:textFill>
            <w14:solidFill>
              <w14:schemeClr w14:val="tx1"/>
            </w14:solidFill>
          </w14:textFill>
        </w:rPr>
        <w:t xml:space="preserve">                       </w:t>
      </w:r>
    </w:p>
    <w:p w14:paraId="35BDF1B1">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1.7、合同价款（预算价，人民币大写）：</w:t>
      </w:r>
      <w:r>
        <w:rPr>
          <w:rFonts w:hint="eastAsia" w:ascii="宋体" w:hAnsi="宋体" w:cs="宋体"/>
          <w:color w:val="000000" w:themeColor="text1"/>
          <w:sz w:val="24"/>
          <w:highlight w:val="none"/>
          <w:u w:val="single"/>
          <w14:textFill>
            <w14:solidFill>
              <w14:schemeClr w14:val="tx1"/>
            </w14:solidFill>
          </w14:textFill>
        </w:rPr>
        <w:t xml:space="preserve">                                         </w:t>
      </w:r>
    </w:p>
    <w:p w14:paraId="50681B48">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1.8、保修期：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年，自</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日至</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日，具体自验收合格次日起。</w:t>
      </w:r>
    </w:p>
    <w:p w14:paraId="08F7A570">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1.9、本项目不得转包；确需分包的，须为非主体性、非关键性工作，且需经甲方书面同意或在响应文件中载明，否则甲方视同乙方违约并由乙方承担全责，乙方就采购项目和分包项目向甲方负责，分包供应商就分包项目承担责任。</w:t>
      </w:r>
    </w:p>
    <w:p w14:paraId="38414352">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第2条  甲方工作</w:t>
      </w:r>
    </w:p>
    <w:p w14:paraId="6F7C2E53">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2.1开工前</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天，向乙方提供经确认的施工图纸或作法说明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份，并向乙方进行现场交底。向乙方提供施工所需的水、电接点（费用乙方自理），并说明使用注意事项，办理施工所涉及的各种申请、批件等手续。</w:t>
      </w:r>
    </w:p>
    <w:p w14:paraId="683421F5">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2.2指派</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为甲方驻工地代表，负责合同履行。对工程质量、进度进行监督检查，办理验收、变更、登记手续和其他事宜。</w:t>
      </w:r>
    </w:p>
    <w:p w14:paraId="580CA3BD">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2.3委托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监理公司进行工程监理，监理公司任命</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为监理工程师，其职责在监理合同中应明确，并将合同副本交乙方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份。</w:t>
      </w:r>
    </w:p>
    <w:p w14:paraId="7D30EBBF">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2.4如确实需要拆改原建筑物结构或设备管线，负责到有关部门办理相应审批手续。</w:t>
      </w:r>
    </w:p>
    <w:p w14:paraId="25C93EEC">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2.5协助乙方做好现场保卫、消防、垃圾处理等工作。</w:t>
      </w:r>
    </w:p>
    <w:p w14:paraId="1D6B001A">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第3条 乙方工作</w:t>
      </w:r>
    </w:p>
    <w:p w14:paraId="665D3566">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3.1参加甲方组织的施工图纸或作法说明的现场交底，拟定施工方案和进度计划，交甲方审定。</w:t>
      </w:r>
    </w:p>
    <w:p w14:paraId="3ECB2572">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3.2指派</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为乙方驻工地项目负责人，负责合同履行。按要求组织施工，保质、保量、按期完成施工任务，解决由乙方负责的各项事宜。</w:t>
      </w:r>
    </w:p>
    <w:p w14:paraId="6BF36F56">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3.3严格执行施工、操作安全、防火安全、环境保护等规定；严格按照图纸或作法说明进行施工；做好各项质量检查记录；参加竣工验收并提交2套完整的竣工资料，编制工程结算。</w:t>
      </w:r>
    </w:p>
    <w:p w14:paraId="65E90922">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p>
    <w:p w14:paraId="1756946E">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3.5施工中未经甲方同意或有关部门批准，不得随意拆改原建筑物结构及各种设备管线，若发生必须无条件修复并承担一切费用。</w:t>
      </w:r>
    </w:p>
    <w:p w14:paraId="30ED80C8">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3.6工程竣工未移交甲方之前，负责对现场的一切设施和工程成品进行保护，若有损坏，乙方负责赔偿。</w:t>
      </w:r>
    </w:p>
    <w:p w14:paraId="270797EC">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第4 条  关于工期的约定</w:t>
      </w:r>
    </w:p>
    <w:p w14:paraId="29D3DDA0">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4.1甲方要求比合同约定的工期提前竣工时，应征得乙方同意，并支付乙方因赶工采取的措施费用。</w:t>
      </w:r>
    </w:p>
    <w:p w14:paraId="72D8A0D6">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4.2因甲方未按约定完成工作，影响工期的，工期顺延。</w:t>
      </w:r>
    </w:p>
    <w:p w14:paraId="6F7F31F5">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4.3因乙方责任，不能按期开工或中途无故停工，影响工期的，工期不顺延。</w:t>
      </w:r>
    </w:p>
    <w:p w14:paraId="6D40BDDF">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4.4因设计变更或非乙方原因造成的停电、停水、停气及不可抗力因素影响，导致一周内累计停工8小时以上的，工期相应顺延。</w:t>
      </w:r>
    </w:p>
    <w:p w14:paraId="3B571EA0">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第5 条 关于工程质量及验收的约定</w:t>
      </w:r>
    </w:p>
    <w:p w14:paraId="50D041E7">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5.1本工程以甲、乙双方确认的施工图纸、作法说明、设计变更和《建筑装饰维修工程验收标准》（GB50210-2018）《建筑工程施工质量评定统一标准》（GB50300-2013）等国家制订的施工及验收规范为质量评定验收标准。</w:t>
      </w:r>
    </w:p>
    <w:p w14:paraId="5265AA63">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5.2本工程质量应至少达到国家质量评定合格标准（工程质量的认定以南京市质检站质检意见为准），若达不到，乙方负责返工直至达到此标准，并承担一切费用。</w:t>
      </w:r>
    </w:p>
    <w:p w14:paraId="5E058D7F">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p>
    <w:p w14:paraId="2CFF15DE">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5.4本工程所用材料、设备，乙方必须负责检测其质量并达到环保要求，不合格的材料、设备不得使用，否则影响工程质量，其返工费用由乙方承担，工期不顺延。</w:t>
      </w:r>
    </w:p>
    <w:p w14:paraId="0117B7C3">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5.5由于乙方原因造成质量事故，返工费用由乙方承担，工期不顺延。</w:t>
      </w:r>
    </w:p>
    <w:p w14:paraId="32880749">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5.6工程竣工后，乙方应通知甲方验收，甲方自接到通知10个工作日内组织验收，并办理验收，移交手续。如甲方在规定时间内未能组织验收，需及时通知乙方，另定验收日期，但甲方应承认竣工日期，并承担乙方的看管费用和相关费用。</w:t>
      </w:r>
    </w:p>
    <w:p w14:paraId="1702ADE1">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第6 条 关于工程价款及结算的约定</w:t>
      </w:r>
    </w:p>
    <w:p w14:paraId="59EA23C6">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6.1 双方商定本合同价款采用下述第</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（1）</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种计价方式。</w:t>
      </w:r>
    </w:p>
    <w:p w14:paraId="34B490F6">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（1）固定单价</w:t>
      </w:r>
    </w:p>
    <w:p w14:paraId="2432AE80">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如下条件的工程项目，可选择此计价方式：①详细设计方案或图纸；②编制的招标工程量清单工程项目完整、项目特征描述详细、工程量清单计算准确；③编制招标控制价；④工程主要材料规格、等级明确或明确主材价格标准；⑤专业人员审标、评标。</w:t>
      </w:r>
    </w:p>
    <w:p w14:paraId="188B9A24">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（2）限合同价内按实结算</w:t>
      </w:r>
    </w:p>
    <w:p w14:paraId="22CF428F">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不满足（1）中条件的工程项目，选择此计价方式。工程量按现场实际施工量计算；综合单价按《建设工程工程量清单计价规范》、江苏省相关计价表及现行文件规定进行计算。</w:t>
      </w:r>
    </w:p>
    <w:p w14:paraId="4CEDF550">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合同价款中包括的风险范围：施工期间收费的政策性调整、自然灾害以及各类建材的市场风险、人工单价、机械台班价格浮动的风险及</w:t>
      </w:r>
      <w:r>
        <w:rPr>
          <w:rFonts w:hint="eastAsia" w:ascii="宋体" w:hAnsi="宋体" w:cs="宋体"/>
          <w:color w:val="000000" w:themeColor="text1"/>
          <w:sz w:val="24"/>
          <w:highlight w:val="none"/>
          <w:lang w:eastAsia="zh-CN"/>
          <w14:textFill>
            <w14:solidFill>
              <w14:schemeClr w14:val="tx1"/>
            </w14:solidFill>
          </w14:textFill>
        </w:rPr>
        <w:t>采购文件</w:t>
      </w:r>
      <w:r>
        <w:rPr>
          <w:rFonts w:hint="eastAsia" w:ascii="宋体" w:hAnsi="宋体" w:cs="宋体"/>
          <w:color w:val="000000" w:themeColor="text1"/>
          <w:sz w:val="24"/>
          <w:highlight w:val="none"/>
          <w14:textFill>
            <w14:solidFill>
              <w14:schemeClr w14:val="tx1"/>
            </w14:solidFill>
          </w14:textFill>
        </w:rPr>
        <w:t>约定部分含有显在的、潜在的一切风险。</w:t>
      </w:r>
    </w:p>
    <w:p w14:paraId="77B5D982">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计价方式（1）、（2）风险范围以外合同价款调整方法：（1）甲方认可的工程设计变更；（2）甲方和监理方均认可的现场签证；（3）变更总金额不得超过原合同金额的10%。</w:t>
      </w:r>
    </w:p>
    <w:p w14:paraId="51690BA3">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6.2 履约保证金：签订合同前，乙方须向招标人缴纳</w:t>
      </w:r>
      <w:r>
        <w:rPr>
          <w:rFonts w:hint="eastAsia" w:ascii="宋体" w:hAnsi="宋体" w:cs="宋体"/>
          <w:color w:val="000000" w:themeColor="text1"/>
          <w:sz w:val="24"/>
          <w:highlight w:val="none"/>
          <w:lang w:val="en-US" w:eastAsia="zh-CN"/>
          <w14:textFill>
            <w14:solidFill>
              <w14:schemeClr w14:val="tx1"/>
            </w14:solidFill>
          </w14:textFill>
        </w:rPr>
        <w:t>中标</w:t>
      </w:r>
      <w:r>
        <w:rPr>
          <w:rFonts w:hint="eastAsia" w:ascii="宋体" w:hAnsi="宋体" w:cs="宋体"/>
          <w:color w:val="000000" w:themeColor="text1"/>
          <w:sz w:val="24"/>
          <w:highlight w:val="none"/>
          <w14:textFill>
            <w14:solidFill>
              <w14:schemeClr w14:val="tx1"/>
            </w14:solidFill>
          </w14:textFill>
        </w:rPr>
        <w:t>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3</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的履约保证金（乙方未能完全履行合同的，履约保证金不予退回）；质保期内无质量问题的，质保金在质保期满后且收到乙方合法票据一个月内无息退还；因乙方原因，导致工程无法推进的，或质保期内存在质量问题未及时妥善解决的，质保金不予返还。</w:t>
      </w:r>
    </w:p>
    <w:p w14:paraId="26DCDC57">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6.3 本合同生效后，甲方凭乙方合法票据按以下约定支付工程款：</w:t>
      </w:r>
    </w:p>
    <w:p w14:paraId="4396E3B8">
      <w:pPr>
        <w:numPr>
          <w:ilvl w:val="0"/>
          <w:numId w:val="0"/>
        </w:num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（1）合同生效后7个工作日内，支付合同总价款的30%；</w:t>
      </w:r>
    </w:p>
    <w:p w14:paraId="243AF1EE">
      <w:pPr>
        <w:numPr>
          <w:ilvl w:val="0"/>
          <w:numId w:val="0"/>
        </w:num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（2）工程完毕并验收合格后10个工作日内，支付至合同总价款的</w:t>
      </w:r>
      <w:r>
        <w:rPr>
          <w:rFonts w:hint="eastAsia" w:ascii="宋体" w:hAnsi="宋体" w:cs="宋体"/>
          <w:color w:val="000000" w:themeColor="text1"/>
          <w:sz w:val="24"/>
          <w:highlight w:val="none"/>
          <w:lang w:val="en-US" w:eastAsia="zh-CN"/>
          <w14:textFill>
            <w14:solidFill>
              <w14:schemeClr w14:val="tx1"/>
            </w14:solidFill>
          </w14:textFill>
        </w:rPr>
        <w:t>7</w:t>
      </w:r>
      <w:r>
        <w:rPr>
          <w:rFonts w:hint="eastAsia" w:ascii="宋体" w:hAnsi="宋体" w:cs="宋体"/>
          <w:color w:val="000000" w:themeColor="text1"/>
          <w:sz w:val="24"/>
          <w:highlight w:val="none"/>
          <w14:textFill>
            <w14:solidFill>
              <w14:schemeClr w14:val="tx1"/>
            </w14:solidFill>
          </w14:textFill>
        </w:rPr>
        <w:t>0%；</w:t>
      </w:r>
    </w:p>
    <w:p w14:paraId="7C0D1D20">
      <w:pPr>
        <w:numPr>
          <w:ilvl w:val="0"/>
          <w:numId w:val="0"/>
        </w:num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（3）工程审计后20个工作日内，支付至审计决算金额的100%。</w:t>
      </w:r>
    </w:p>
    <w:p w14:paraId="72EBDF18">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6.4 工程竣工验收后二十天内，乙方提出工程结算并将有关资料送交甲方。甲方自接到上述资料60个工作日内审查完毕。</w:t>
      </w:r>
    </w:p>
    <w:p w14:paraId="151C8798">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6.5 结算审计时，单项工程核减率超过10%的，其审计费用全部由施工单位承担，并由甲方从应付施工单位工程款中扣除。</w:t>
      </w:r>
    </w:p>
    <w:p w14:paraId="3A6FD085">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第7条 关于材料供应的约定</w:t>
      </w:r>
    </w:p>
    <w:p w14:paraId="7A83A98F">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凡由乙方采购的材料、设备，其品牌、规格、质量须与响应文件一致且必须经甲方和监理方事先认可。如不符合质量要求或规格有差异，甲方和监理方有权禁止其使用。对工程造成的损失由乙方负责。</w:t>
      </w:r>
    </w:p>
    <w:p w14:paraId="38B31A5F">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第8条 有关安全生产和防火的约定</w:t>
      </w:r>
    </w:p>
    <w:p w14:paraId="6748F6D8">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8.1甲方提供或乙方提供经甲方确认的施工图纸或作法说明，应符合《中华人民共和国消防法》和有关防火设计规范。</w:t>
      </w:r>
    </w:p>
    <w:p w14:paraId="39DE2C8B">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8.2乙方在施工期间应严格遵守《中华人民</w:t>
      </w:r>
      <w:r>
        <w:rPr>
          <w:rFonts w:hint="eastAsia" w:ascii="宋体" w:hAnsi="宋体" w:cs="宋体"/>
          <w:color w:val="000000" w:themeColor="text1"/>
          <w:sz w:val="24"/>
          <w:highlight w:val="none"/>
          <w:lang w:val="en-US" w:eastAsia="zh-CN"/>
          <w14:textFill>
            <w14:solidFill>
              <w14:schemeClr w14:val="tx1"/>
            </w14:solidFill>
          </w14:textFill>
        </w:rPr>
        <w:t>共</w:t>
      </w:r>
      <w:r>
        <w:rPr>
          <w:rFonts w:hint="eastAsia" w:ascii="宋体" w:hAnsi="宋体" w:cs="宋体"/>
          <w:color w:val="000000" w:themeColor="text1"/>
          <w:sz w:val="24"/>
          <w:highlight w:val="none"/>
          <w14:textFill>
            <w14:solidFill>
              <w14:schemeClr w14:val="tx1"/>
            </w14:solidFill>
          </w14:textFill>
        </w:rPr>
        <w:t>和国建筑法》、《中华人民共和国消防法》、《建设工程安全生产管理条例》、《建设工程质量管理条例》等法规。由于乙方在施工生产过程中违反有关安全、质量、消防等法规导致发生安全或火灾事故，乙方应承担由此引发的一切经济损失。</w:t>
      </w:r>
      <w:bookmarkStart w:id="2" w:name="_GoBack"/>
      <w:bookmarkEnd w:id="2"/>
    </w:p>
    <w:p w14:paraId="71DBF007">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第9条 奖励和违约责任</w:t>
      </w:r>
    </w:p>
    <w:p w14:paraId="22309D86">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9.1甲方未能按合同的约定支付款，按最高人民法院关于延期付款的规定向乙方承担违约责任，双方有书面约定的除外。</w:t>
      </w:r>
    </w:p>
    <w:p w14:paraId="01C61647">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9.2由于乙方原因，逾期竣工，每逾期一天，乙方支付甲方1000元违约金（在履约保证金中扣除）。甲方要求提前竣工，除支付赶工措施费外，每提前一天，甲方支付乙方1000元，作为奖励。</w:t>
      </w:r>
    </w:p>
    <w:p w14:paraId="1F91A748">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9.3乙方送至现场的材料设备与响应文件中的材料设备（品牌、生产厂家、规格型号、材质）有不一致的地方，应更换至符合要求，同时甲方有权从履约保证金中扣除合同总价的</w:t>
      </w:r>
      <w:r>
        <w:rPr>
          <w:rFonts w:ascii="宋体" w:hAnsi="宋体" w:cs="宋体"/>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%作为乙方向甲方支付的违约金。</w:t>
      </w:r>
    </w:p>
    <w:p w14:paraId="303CF090">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9.4乙方应妥善保护甲方提供的设备及现场堆放的家具、陈设和工程成品，如造成损失，应照价赔偿。</w:t>
      </w:r>
    </w:p>
    <w:p w14:paraId="56882558">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9.5甲方未办理任何手续，擅自同意拆改原有建筑物结构或设备管线，由此发生的损失或事故（包括罚款），由甲方负责并承担损失。</w:t>
      </w:r>
    </w:p>
    <w:p w14:paraId="4362059C">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9.6未经甲方同意，乙方擅自拆改原建筑物结构或设备管线，由此发生的损失或事故（包括罚款），由乙方负责并承担损失。</w:t>
      </w:r>
    </w:p>
    <w:p w14:paraId="086D1955">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9.7未办理验收手续，甲方提前使用或擅自动用，造成损失由甲方负责。</w:t>
      </w:r>
    </w:p>
    <w:p w14:paraId="6B8A31FD">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9.8因一方原因，合同无法继续履行时，应通知对方，办理合同终止协议，并由责任方赔偿对方由此造成的经济损失。</w:t>
      </w:r>
    </w:p>
    <w:p w14:paraId="3B1FE444">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9.9质量未达到要求，乙方应在规定的期限内进行整改，甲方从履约保证金中扣除工程结算价款的5%作为乙方向甲方支付的违约金。此项赔偿并不能解除乙方完成工程的责任及合同规定的其他责任。如因施工质量导致安全事故，乙方承担事故处理的一切费用、工程的恢复费用及因此而造成后续工程延误费用。</w:t>
      </w:r>
    </w:p>
    <w:p w14:paraId="6850AA78">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9.10 乙方项目负责人及主要管理人员必须在工程现场，有事请假须经监理及甲方同意，若无正当理由不在工地现场，且未经甲方或监理认可的，甲方有权从履约保证金中按每人每天2000元人民币收取违约金。</w:t>
      </w:r>
    </w:p>
    <w:p w14:paraId="7AB10E84">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9.10履约保证金不足以支付违约金的，从工程款中扣除。</w:t>
      </w:r>
    </w:p>
    <w:p w14:paraId="69AC25E3">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9.11 任何一方违反本合同约定，除承担违约金外，还承担守约方向违约方追责所支付的一切费用，包括但不限于律师费、诉讼费、保全费、公告费、鉴定费、交通费、食宿费、保函费等。</w:t>
      </w:r>
    </w:p>
    <w:p w14:paraId="1D28DE23">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第10条 争议的解决方式</w:t>
      </w:r>
    </w:p>
    <w:p w14:paraId="754BC41B">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在本合同履行过程中发生争议，双方协商解决，协商不成的可依法向工程所在地人民法院起诉。</w:t>
      </w:r>
    </w:p>
    <w:p w14:paraId="3B5E1984">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第11条 附则</w:t>
      </w:r>
    </w:p>
    <w:p w14:paraId="7D12FD78">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11.1本合同一式六份，甲方肆份，乙方贰份。</w:t>
      </w:r>
    </w:p>
    <w:p w14:paraId="47FCDF59">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11.2本合同履行完成后自动终止。</w:t>
      </w:r>
    </w:p>
    <w:p w14:paraId="0727865D">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11.3形成本合同的采购文件、报价文件、工作量清单、报价预算书、主材清单、服务承诺等作为合同附件，对双方均具有约束力。</w:t>
      </w:r>
    </w:p>
    <w:p w14:paraId="7BD10A84">
      <w:pPr>
        <w:spacing w:line="360" w:lineRule="auto"/>
        <w:rPr>
          <w:rFonts w:hint="eastAsia" w:ascii="宋体" w:hAnsi="宋体" w:cs="宋体"/>
          <w:color w:val="000000" w:themeColor="text1"/>
          <w:sz w:val="24"/>
          <w:highlight w:val="none"/>
          <w14:textFill>
            <w14:solidFill>
              <w14:schemeClr w14:val="tx1"/>
            </w14:solidFill>
          </w14:textFill>
        </w:rPr>
      </w:pPr>
    </w:p>
    <w:p w14:paraId="64E739D1">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附件一：工程量清单；</w:t>
      </w:r>
    </w:p>
    <w:p w14:paraId="2A363CEB">
      <w:pPr>
        <w:spacing w:line="360" w:lineRule="auto"/>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附件二：售后服务承诺。</w:t>
      </w:r>
    </w:p>
    <w:p w14:paraId="230D8687">
      <w:pPr>
        <w:widowControl/>
        <w:jc w:val="left"/>
        <w:rPr>
          <w:rFonts w:hint="eastAsia" w:ascii="宋体" w:hAnsi="宋体" w:cs="宋体"/>
          <w:color w:val="000000" w:themeColor="text1"/>
          <w:highlight w:val="none"/>
          <w14:textFill>
            <w14:solidFill>
              <w14:schemeClr w14:val="tx1"/>
            </w14:solidFill>
          </w14:textFill>
        </w:rPr>
      </w:pPr>
    </w:p>
    <w:tbl>
      <w:tblPr>
        <w:tblStyle w:val="3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2"/>
        <w:gridCol w:w="4644"/>
      </w:tblGrid>
      <w:tr w14:paraId="73C5E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2499" w:type="pct"/>
            <w:tcBorders>
              <w:top w:val="single" w:color="auto" w:sz="4" w:space="0"/>
              <w:left w:val="single" w:color="auto" w:sz="4" w:space="0"/>
              <w:bottom w:val="single" w:color="auto" w:sz="4" w:space="0"/>
              <w:right w:val="single" w:color="auto" w:sz="4" w:space="0"/>
            </w:tcBorders>
            <w:noWrap w:val="0"/>
            <w:vAlign w:val="center"/>
          </w:tcPr>
          <w:p w14:paraId="7B78CCC7">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甲方（盖章）：</w:t>
            </w:r>
          </w:p>
          <w:p w14:paraId="325F0359">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bookmarkStart w:id="1" w:name="电子签名"/>
            <w:bookmarkEnd w:id="1"/>
            <w:r>
              <w:rPr>
                <w:rFonts w:hint="eastAsia" w:ascii="宋体" w:hAnsi="宋体" w:cs="宋体"/>
                <w:color w:val="000000" w:themeColor="text1"/>
                <w:sz w:val="24"/>
                <w:highlight w:val="none"/>
                <w14:textFill>
                  <w14:solidFill>
                    <w14:schemeClr w14:val="tx1"/>
                  </w14:solidFill>
                </w14:textFill>
              </w:rPr>
              <w:t>法定代表人：</w:t>
            </w:r>
          </w:p>
          <w:p w14:paraId="49B579B7">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代理人：</w:t>
            </w:r>
          </w:p>
          <w:p w14:paraId="0FFE6AAE">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单位地址：</w:t>
            </w:r>
          </w:p>
          <w:p w14:paraId="3CDA7C4F">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电话：</w:t>
            </w:r>
          </w:p>
          <w:p w14:paraId="07602D7C">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传真：</w:t>
            </w:r>
          </w:p>
          <w:p w14:paraId="47B41F93">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邮政编码：</w:t>
            </w:r>
          </w:p>
          <w:p w14:paraId="261C0EF6">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统一社会信用代码：</w:t>
            </w:r>
          </w:p>
          <w:p w14:paraId="283B9A33">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开户银行：</w:t>
            </w:r>
          </w:p>
          <w:p w14:paraId="032D42A7">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户名：</w:t>
            </w:r>
          </w:p>
          <w:p w14:paraId="75A3BA6A">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帐号：</w:t>
            </w:r>
          </w:p>
          <w:p w14:paraId="35191492">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签定日期：</w:t>
            </w:r>
          </w:p>
        </w:tc>
        <w:tc>
          <w:tcPr>
            <w:tcW w:w="2500" w:type="pct"/>
            <w:tcBorders>
              <w:top w:val="single" w:color="auto" w:sz="4" w:space="0"/>
              <w:left w:val="single" w:color="auto" w:sz="4" w:space="0"/>
              <w:bottom w:val="single" w:color="auto" w:sz="4" w:space="0"/>
              <w:right w:val="single" w:color="auto" w:sz="4" w:space="0"/>
            </w:tcBorders>
            <w:noWrap w:val="0"/>
            <w:vAlign w:val="center"/>
          </w:tcPr>
          <w:p w14:paraId="08894D5B">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乙方（盖章）：</w:t>
            </w:r>
          </w:p>
          <w:p w14:paraId="13AAF4D9">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w:t>
            </w:r>
          </w:p>
          <w:p w14:paraId="009B7049">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代理人：</w:t>
            </w:r>
          </w:p>
          <w:p w14:paraId="5D518046">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单位地址：</w:t>
            </w:r>
          </w:p>
          <w:p w14:paraId="0AFC8FFF">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电话：</w:t>
            </w:r>
          </w:p>
          <w:p w14:paraId="6A9DB165">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传真：</w:t>
            </w:r>
          </w:p>
          <w:p w14:paraId="11DD437F">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邮政编码：</w:t>
            </w:r>
          </w:p>
          <w:p w14:paraId="6028EECC">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统一社会信用代码：</w:t>
            </w:r>
          </w:p>
          <w:p w14:paraId="31959259">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开户银行：</w:t>
            </w:r>
          </w:p>
          <w:p w14:paraId="42DEF264">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户名：</w:t>
            </w:r>
          </w:p>
          <w:p w14:paraId="137FF11F">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帐号：</w:t>
            </w:r>
          </w:p>
          <w:p w14:paraId="5A87C91F">
            <w:pPr>
              <w:keepNext w:val="0"/>
              <w:keepLines w:val="0"/>
              <w:pageBreakBefore w:val="0"/>
              <w:widowControl w:val="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签定日期：</w:t>
            </w:r>
          </w:p>
        </w:tc>
      </w:tr>
    </w:tbl>
    <w:p w14:paraId="76D08082">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p>
    <w:p w14:paraId="687AC907">
      <w:pPr>
        <w:pStyle w:val="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第六章  投标文件格式及附件</w:t>
      </w:r>
    </w:p>
    <w:p w14:paraId="0AF679D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w:t>
      </w:r>
    </w:p>
    <w:p w14:paraId="37F4656F">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1.本部分内容仅提供格式参考。</w:t>
      </w:r>
    </w:p>
    <w:p w14:paraId="4762BB8C">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2.所附表格中要求回答的全部问题和信息都必须正面回答。</w:t>
      </w:r>
    </w:p>
    <w:p w14:paraId="2904540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p>
    <w:p w14:paraId="45A4CAF6">
      <w:pPr>
        <w:keepNext w:val="0"/>
        <w:keepLines w:val="0"/>
        <w:pageBreakBefore w:val="0"/>
        <w:widowControl w:val="0"/>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投标文件封面格式：</w:t>
      </w:r>
    </w:p>
    <w:p w14:paraId="146639AD">
      <w:pPr>
        <w:keepNext w:val="0"/>
        <w:keepLines w:val="0"/>
        <w:pageBreakBefore w:val="0"/>
        <w:widowControl w:val="0"/>
        <w:ind w:firstLine="0"/>
        <w:jc w:val="right"/>
        <w:rPr>
          <w:rFonts w:hint="default" w:eastAsia="宋体"/>
          <w:color w:val="000000" w:themeColor="text1"/>
          <w:sz w:val="44"/>
          <w:szCs w:val="44"/>
          <w:highlight w:val="none"/>
          <w:lang w:val="en-US" w:eastAsia="zh-CN"/>
          <w14:textFill>
            <w14:solidFill>
              <w14:schemeClr w14:val="tx1"/>
            </w14:solidFill>
          </w14:textFill>
        </w:rPr>
      </w:pPr>
      <w:r>
        <w:rPr>
          <w:rFonts w:hint="eastAsia"/>
          <w:color w:val="000000" w:themeColor="text1"/>
          <w:sz w:val="44"/>
          <w:szCs w:val="44"/>
          <w:highlight w:val="none"/>
          <w:lang w:val="en-US" w:eastAsia="zh-CN"/>
          <w14:textFill>
            <w14:solidFill>
              <w14:schemeClr w14:val="tx1"/>
            </w14:solidFill>
          </w14:textFill>
        </w:rPr>
        <w:t>正本/副本</w:t>
      </w:r>
    </w:p>
    <w:p w14:paraId="0B97BA74">
      <w:pPr>
        <w:keepNext w:val="0"/>
        <w:keepLines w:val="0"/>
        <w:pageBreakBefore w:val="0"/>
        <w:widowControl w:val="0"/>
        <w:ind w:firstLine="0"/>
        <w:jc w:val="center"/>
        <w:rPr>
          <w:rFonts w:hint="eastAsia"/>
          <w:color w:val="000000" w:themeColor="text1"/>
          <w:sz w:val="44"/>
          <w:szCs w:val="44"/>
          <w:highlight w:val="none"/>
          <w14:textFill>
            <w14:solidFill>
              <w14:schemeClr w14:val="tx1"/>
            </w14:solidFill>
          </w14:textFill>
        </w:rPr>
      </w:pPr>
    </w:p>
    <w:p w14:paraId="52297985">
      <w:pPr>
        <w:keepNext w:val="0"/>
        <w:keepLines w:val="0"/>
        <w:pageBreakBefore w:val="0"/>
        <w:widowControl w:val="0"/>
        <w:ind w:firstLine="0"/>
        <w:jc w:val="center"/>
        <w:rPr>
          <w:rFonts w:hint="eastAsia"/>
          <w:color w:val="000000" w:themeColor="text1"/>
          <w:sz w:val="44"/>
          <w:szCs w:val="44"/>
          <w:highlight w:val="none"/>
          <w14:textFill>
            <w14:solidFill>
              <w14:schemeClr w14:val="tx1"/>
            </w14:solidFill>
          </w14:textFill>
        </w:rPr>
      </w:pPr>
    </w:p>
    <w:p w14:paraId="19C776E7">
      <w:pPr>
        <w:keepNext w:val="0"/>
        <w:keepLines w:val="0"/>
        <w:pageBreakBefore w:val="0"/>
        <w:widowControl w:val="0"/>
        <w:ind w:firstLine="0"/>
        <w:jc w:val="center"/>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投  标  文  件</w:t>
      </w:r>
    </w:p>
    <w:p w14:paraId="76024B52">
      <w:pPr>
        <w:keepNext w:val="0"/>
        <w:keepLines w:val="0"/>
        <w:pageBreakBefore w:val="0"/>
        <w:widowControl w:val="0"/>
        <w:ind w:firstLine="0"/>
        <w:jc w:val="center"/>
        <w:rPr>
          <w:rFonts w:hint="eastAsia"/>
          <w:b/>
          <w:bCs/>
          <w:color w:val="000000" w:themeColor="text1"/>
          <w:sz w:val="44"/>
          <w:szCs w:val="44"/>
          <w:highlight w:val="none"/>
          <w14:textFill>
            <w14:solidFill>
              <w14:schemeClr w14:val="tx1"/>
            </w14:solidFill>
          </w14:textFill>
        </w:rPr>
      </w:pPr>
    </w:p>
    <w:p w14:paraId="7B15D31A">
      <w:pPr>
        <w:keepNext w:val="0"/>
        <w:keepLines w:val="0"/>
        <w:pageBreakBefore w:val="0"/>
        <w:widowControl w:val="0"/>
        <w:ind w:firstLine="0"/>
        <w:jc w:val="center"/>
        <w:rPr>
          <w:rFonts w:hint="eastAsia"/>
          <w:b/>
          <w:bCs/>
          <w:color w:val="000000" w:themeColor="text1"/>
          <w:sz w:val="44"/>
          <w:szCs w:val="44"/>
          <w:highlight w:val="none"/>
          <w14:textFill>
            <w14:solidFill>
              <w14:schemeClr w14:val="tx1"/>
            </w14:solidFill>
          </w14:textFill>
        </w:rPr>
      </w:pPr>
    </w:p>
    <w:p w14:paraId="4A4ADD4A">
      <w:pPr>
        <w:keepNext w:val="0"/>
        <w:keepLines w:val="0"/>
        <w:pageBreakBefore w:val="0"/>
        <w:widowControl w:val="0"/>
        <w:ind w:firstLine="0"/>
        <w:jc w:val="center"/>
        <w:rPr>
          <w:rFonts w:hint="eastAsia"/>
          <w:b/>
          <w:bCs/>
          <w:color w:val="000000" w:themeColor="text1"/>
          <w:sz w:val="44"/>
          <w:szCs w:val="44"/>
          <w:highlight w:val="none"/>
          <w14:textFill>
            <w14:solidFill>
              <w14:schemeClr w14:val="tx1"/>
            </w14:solidFill>
          </w14:textFill>
        </w:rPr>
      </w:pPr>
    </w:p>
    <w:p w14:paraId="189B6F77">
      <w:pPr>
        <w:keepNext w:val="0"/>
        <w:keepLines w:val="0"/>
        <w:pageBreakBefore w:val="0"/>
        <w:widowControl w:val="0"/>
        <w:ind w:firstLine="0"/>
        <w:jc w:val="center"/>
        <w:rPr>
          <w:rFonts w:hint="eastAsia"/>
          <w:b/>
          <w:bCs/>
          <w:color w:val="000000" w:themeColor="text1"/>
          <w:sz w:val="44"/>
          <w:szCs w:val="44"/>
          <w:highlight w:val="none"/>
          <w14:textFill>
            <w14:solidFill>
              <w14:schemeClr w14:val="tx1"/>
            </w14:solidFill>
          </w14:textFill>
        </w:rPr>
      </w:pPr>
    </w:p>
    <w:p w14:paraId="4AAD2361">
      <w:pPr>
        <w:keepNext w:val="0"/>
        <w:keepLines w:val="0"/>
        <w:pageBreakBefore w:val="0"/>
        <w:widowControl w:val="0"/>
        <w:ind w:firstLine="0"/>
        <w:jc w:val="center"/>
        <w:rPr>
          <w:rFonts w:hint="eastAsia"/>
          <w:b/>
          <w:bCs/>
          <w:color w:val="000000" w:themeColor="text1"/>
          <w:sz w:val="44"/>
          <w:szCs w:val="44"/>
          <w:highlight w:val="none"/>
          <w14:textFill>
            <w14:solidFill>
              <w14:schemeClr w14:val="tx1"/>
            </w14:solidFill>
          </w14:textFill>
        </w:rPr>
      </w:pPr>
    </w:p>
    <w:p w14:paraId="525ED4D6">
      <w:pPr>
        <w:keepNext w:val="0"/>
        <w:keepLines w:val="0"/>
        <w:pageBreakBefore w:val="0"/>
        <w:widowControl w:val="0"/>
        <w:ind w:firstLine="0"/>
        <w:jc w:val="center"/>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项目编号：</w:t>
      </w:r>
      <w:r>
        <w:rPr>
          <w:rFonts w:hint="eastAsia"/>
          <w:b/>
          <w:bCs/>
          <w:color w:val="000000" w:themeColor="text1"/>
          <w:sz w:val="44"/>
          <w:szCs w:val="44"/>
          <w:highlight w:val="none"/>
          <w:lang w:val="en-US" w:eastAsia="zh-CN"/>
          <w14:textFill>
            <w14:solidFill>
              <w14:schemeClr w14:val="tx1"/>
            </w14:solidFill>
          </w14:textFill>
        </w:rPr>
        <w:t>_______________</w:t>
      </w:r>
    </w:p>
    <w:p w14:paraId="33F2CB10">
      <w:pPr>
        <w:keepNext w:val="0"/>
        <w:keepLines w:val="0"/>
        <w:pageBreakBefore w:val="0"/>
        <w:widowControl w:val="0"/>
        <w:ind w:firstLine="0"/>
        <w:jc w:val="center"/>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项目名称：</w:t>
      </w:r>
      <w:r>
        <w:rPr>
          <w:rFonts w:hint="eastAsia"/>
          <w:b/>
          <w:bCs/>
          <w:color w:val="000000" w:themeColor="text1"/>
          <w:sz w:val="44"/>
          <w:szCs w:val="44"/>
          <w:highlight w:val="none"/>
          <w:lang w:val="en-US" w:eastAsia="zh-CN"/>
          <w14:textFill>
            <w14:solidFill>
              <w14:schemeClr w14:val="tx1"/>
            </w14:solidFill>
          </w14:textFill>
        </w:rPr>
        <w:t>_______________</w:t>
      </w:r>
    </w:p>
    <w:p w14:paraId="0C84A091">
      <w:pPr>
        <w:keepNext w:val="0"/>
        <w:keepLines w:val="0"/>
        <w:pageBreakBefore w:val="0"/>
        <w:widowControl w:val="0"/>
        <w:ind w:firstLine="0"/>
        <w:jc w:val="center"/>
        <w:rPr>
          <w:rFonts w:hint="eastAsia"/>
          <w:b/>
          <w:bCs/>
          <w:color w:val="000000" w:themeColor="text1"/>
          <w:sz w:val="44"/>
          <w:szCs w:val="44"/>
          <w:highlight w:val="none"/>
          <w14:textFill>
            <w14:solidFill>
              <w14:schemeClr w14:val="tx1"/>
            </w14:solidFill>
          </w14:textFill>
        </w:rPr>
      </w:pPr>
    </w:p>
    <w:p w14:paraId="11C5F594">
      <w:pPr>
        <w:keepNext w:val="0"/>
        <w:keepLines w:val="0"/>
        <w:pageBreakBefore w:val="0"/>
        <w:widowControl w:val="0"/>
        <w:ind w:firstLine="0"/>
        <w:jc w:val="center"/>
        <w:rPr>
          <w:rFonts w:hint="eastAsia"/>
          <w:b/>
          <w:bCs/>
          <w:color w:val="000000" w:themeColor="text1"/>
          <w:sz w:val="44"/>
          <w:szCs w:val="44"/>
          <w:highlight w:val="none"/>
          <w14:textFill>
            <w14:solidFill>
              <w14:schemeClr w14:val="tx1"/>
            </w14:solidFill>
          </w14:textFill>
        </w:rPr>
      </w:pPr>
    </w:p>
    <w:p w14:paraId="70821C21">
      <w:pPr>
        <w:keepNext w:val="0"/>
        <w:keepLines w:val="0"/>
        <w:pageBreakBefore w:val="0"/>
        <w:widowControl w:val="0"/>
        <w:ind w:firstLine="0"/>
        <w:jc w:val="center"/>
        <w:rPr>
          <w:rFonts w:hint="eastAsia"/>
          <w:b/>
          <w:bCs/>
          <w:color w:val="000000" w:themeColor="text1"/>
          <w:sz w:val="44"/>
          <w:szCs w:val="44"/>
          <w:highlight w:val="none"/>
          <w14:textFill>
            <w14:solidFill>
              <w14:schemeClr w14:val="tx1"/>
            </w14:solidFill>
          </w14:textFill>
        </w:rPr>
      </w:pPr>
    </w:p>
    <w:p w14:paraId="25084A2C">
      <w:pPr>
        <w:keepNext w:val="0"/>
        <w:keepLines w:val="0"/>
        <w:pageBreakBefore w:val="0"/>
        <w:widowControl w:val="0"/>
        <w:ind w:firstLine="0"/>
        <w:jc w:val="center"/>
        <w:rPr>
          <w:rFonts w:hint="eastAsia"/>
          <w:b/>
          <w:bCs/>
          <w:color w:val="000000" w:themeColor="text1"/>
          <w:sz w:val="44"/>
          <w:szCs w:val="44"/>
          <w:highlight w:val="none"/>
          <w14:textFill>
            <w14:solidFill>
              <w14:schemeClr w14:val="tx1"/>
            </w14:solidFill>
          </w14:textFill>
        </w:rPr>
      </w:pPr>
    </w:p>
    <w:p w14:paraId="06E2D455">
      <w:pPr>
        <w:keepNext w:val="0"/>
        <w:keepLines w:val="0"/>
        <w:pageBreakBefore w:val="0"/>
        <w:widowControl w:val="0"/>
        <w:ind w:firstLine="0"/>
        <w:jc w:val="center"/>
        <w:rPr>
          <w:rFonts w:hint="eastAsia"/>
          <w:b/>
          <w:bCs/>
          <w:color w:val="000000" w:themeColor="text1"/>
          <w:sz w:val="44"/>
          <w:szCs w:val="44"/>
          <w:highlight w:val="none"/>
          <w14:textFill>
            <w14:solidFill>
              <w14:schemeClr w14:val="tx1"/>
            </w14:solidFill>
          </w14:textFill>
        </w:rPr>
      </w:pPr>
    </w:p>
    <w:p w14:paraId="31ACCD30">
      <w:pPr>
        <w:keepNext w:val="0"/>
        <w:keepLines w:val="0"/>
        <w:pageBreakBefore w:val="0"/>
        <w:widowControl w:val="0"/>
        <w:ind w:firstLine="0"/>
        <w:jc w:val="center"/>
        <w:rPr>
          <w:rFonts w:hint="eastAsia"/>
          <w:b/>
          <w:bCs/>
          <w:color w:val="000000" w:themeColor="text1"/>
          <w:sz w:val="44"/>
          <w:szCs w:val="44"/>
          <w:highlight w:val="none"/>
          <w14:textFill>
            <w14:solidFill>
              <w14:schemeClr w14:val="tx1"/>
            </w14:solidFill>
          </w14:textFill>
        </w:rPr>
      </w:pPr>
    </w:p>
    <w:p w14:paraId="430D7CD7">
      <w:pPr>
        <w:keepNext w:val="0"/>
        <w:keepLines w:val="0"/>
        <w:pageBreakBefore w:val="0"/>
        <w:widowControl w:val="0"/>
        <w:ind w:firstLine="0"/>
        <w:jc w:val="center"/>
        <w:rPr>
          <w:rFonts w:hint="eastAsia"/>
          <w:b/>
          <w:bCs/>
          <w:color w:val="000000" w:themeColor="text1"/>
          <w:sz w:val="44"/>
          <w:szCs w:val="44"/>
          <w:highlight w:val="none"/>
          <w14:textFill>
            <w14:solidFill>
              <w14:schemeClr w14:val="tx1"/>
            </w14:solidFill>
          </w14:textFill>
        </w:rPr>
      </w:pPr>
    </w:p>
    <w:p w14:paraId="3A5800A4">
      <w:pPr>
        <w:keepNext w:val="0"/>
        <w:keepLines w:val="0"/>
        <w:pageBreakBefore w:val="0"/>
        <w:widowControl w:val="0"/>
        <w:ind w:firstLine="0"/>
        <w:jc w:val="center"/>
        <w:rPr>
          <w:rFonts w:hint="default" w:eastAsia="宋体"/>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投标人名称：</w:t>
      </w:r>
      <w:r>
        <w:rPr>
          <w:rFonts w:hint="eastAsia"/>
          <w:b/>
          <w:bCs/>
          <w:color w:val="000000" w:themeColor="text1"/>
          <w:sz w:val="44"/>
          <w:szCs w:val="44"/>
          <w:highlight w:val="none"/>
          <w:u w:val="single"/>
          <w:lang w:val="en-US" w:eastAsia="zh-CN"/>
          <w14:textFill>
            <w14:solidFill>
              <w14:schemeClr w14:val="tx1"/>
            </w14:solidFill>
          </w14:textFill>
        </w:rPr>
        <w:t>（加盖电子公章）</w:t>
      </w:r>
    </w:p>
    <w:p w14:paraId="65ADE972">
      <w:pPr>
        <w:keepNext w:val="0"/>
        <w:keepLines w:val="0"/>
        <w:pageBreakBefore w:val="0"/>
        <w:widowControl w:val="0"/>
        <w:ind w:firstLine="0"/>
        <w:jc w:val="center"/>
        <w:rPr>
          <w:rFonts w:hint="default"/>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日      期：</w:t>
      </w:r>
      <w:r>
        <w:rPr>
          <w:rFonts w:hint="eastAsia"/>
          <w:b/>
          <w:bCs/>
          <w:color w:val="000000" w:themeColor="text1"/>
          <w:sz w:val="44"/>
          <w:szCs w:val="44"/>
          <w:highlight w:val="none"/>
          <w:lang w:val="en-US" w:eastAsia="zh-CN"/>
          <w14:textFill>
            <w14:solidFill>
              <w14:schemeClr w14:val="tx1"/>
            </w14:solidFill>
          </w14:textFill>
        </w:rPr>
        <w:t>________________</w:t>
      </w:r>
    </w:p>
    <w:p w14:paraId="2141D68B">
      <w:pPr>
        <w:rPr>
          <w:rFonts w:hint="eastAsia"/>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lang w:val="en-US" w:eastAsia="zh-CN"/>
          <w14:textFill>
            <w14:solidFill>
              <w14:schemeClr w14:val="tx1"/>
            </w14:solidFill>
          </w14:textFill>
        </w:rPr>
        <w:br w:type="page" w:clear="all"/>
      </w:r>
    </w:p>
    <w:p w14:paraId="1A66B77A">
      <w:pPr>
        <w:keepNext w:val="0"/>
        <w:keepLines w:val="0"/>
        <w:pageBreakBefore w:val="0"/>
        <w:widowControl w:val="0"/>
        <w:ind w:firstLine="0"/>
        <w:jc w:val="center"/>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投标文件目录</w:t>
      </w:r>
    </w:p>
    <w:p w14:paraId="78EB44FB">
      <w:pPr>
        <w:keepNext w:val="0"/>
        <w:keepLines w:val="0"/>
        <w:pageBreakBefore w:val="0"/>
        <w:widowControl w:val="0"/>
        <w:ind w:firstLine="0"/>
        <w:jc w:val="center"/>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（注：投标人根据附件编制投标文件并制作目录）</w:t>
      </w:r>
    </w:p>
    <w:p w14:paraId="4CC2121D">
      <w:pPr>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p>
    <w:p w14:paraId="3ABA056A">
      <w:pPr>
        <w:pStyle w:val="4"/>
        <w:keepNext/>
        <w:keepLines/>
        <w:pageBreakBefore w:val="0"/>
        <w:widowControl w:val="0"/>
        <w:ind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目录一、</w:t>
      </w:r>
      <w:r>
        <w:rPr>
          <w:rFonts w:hint="eastAsia"/>
          <w:color w:val="000000" w:themeColor="text1"/>
          <w:highlight w:val="none"/>
          <w:lang w:val="en-US" w:eastAsia="zh-CN"/>
          <w14:textFill>
            <w14:solidFill>
              <w14:schemeClr w14:val="tx1"/>
            </w14:solidFill>
          </w14:textFill>
        </w:rPr>
        <w:t>开标一览表</w:t>
      </w:r>
    </w:p>
    <w:p w14:paraId="28C5B32A">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开标一览表（总价）</w:t>
      </w:r>
    </w:p>
    <w:p w14:paraId="0E1D5E0B">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投标人全称（CA</w:t>
      </w:r>
      <w:r>
        <w:rPr>
          <w:rFonts w:hint="eastAsia"/>
          <w:color w:val="000000" w:themeColor="text1"/>
          <w:highlight w:val="none"/>
          <w:lang w:val="en-US" w:eastAsia="zh-CN"/>
          <w14:textFill>
            <w14:solidFill>
              <w14:schemeClr w14:val="tx1"/>
            </w14:solidFill>
          </w14:textFill>
        </w:rPr>
        <w:t>公</w:t>
      </w:r>
      <w:r>
        <w:rPr>
          <w:rFonts w:hint="eastAsia"/>
          <w:color w:val="000000" w:themeColor="text1"/>
          <w:highlight w:val="none"/>
          <w14:textFill>
            <w14:solidFill>
              <w14:schemeClr w14:val="tx1"/>
            </w14:solidFill>
          </w14:textFill>
        </w:rPr>
        <w:t>章）：</w:t>
      </w:r>
    </w:p>
    <w:p w14:paraId="35AE605D">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项目名称：</w:t>
      </w:r>
    </w:p>
    <w:p w14:paraId="5AE14517">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项目编号：</w:t>
      </w:r>
    </w:p>
    <w:p w14:paraId="1C70629A">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分包号</w:t>
      </w:r>
      <w:r>
        <w:rPr>
          <w:rFonts w:hint="eastAsia"/>
          <w:color w:val="000000" w:themeColor="text1"/>
          <w:highlight w:val="none"/>
          <w14:textFill>
            <w14:solidFill>
              <w14:schemeClr w14:val="tx1"/>
            </w14:solidFill>
          </w14:textFill>
        </w:rPr>
        <w:t>：</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4"/>
        <w:gridCol w:w="4644"/>
      </w:tblGrid>
      <w:tr w14:paraId="48707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4644" w:type="dxa"/>
            <w:noWrap w:val="0"/>
            <w:vAlign w:val="center"/>
          </w:tcPr>
          <w:p w14:paraId="106C527F">
            <w:pPr>
              <w:keepNext w:val="0"/>
              <w:keepLines w:val="0"/>
              <w:pageBreakBefore w:val="0"/>
              <w:widowControl w:val="0"/>
              <w:spacing w:line="240" w:lineRule="auto"/>
              <w:ind w:firstLine="0"/>
              <w:jc w:val="center"/>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投标项目名称</w:t>
            </w:r>
          </w:p>
        </w:tc>
        <w:tc>
          <w:tcPr>
            <w:tcW w:w="4644" w:type="dxa"/>
            <w:noWrap w:val="0"/>
            <w:vAlign w:val="center"/>
          </w:tcPr>
          <w:p w14:paraId="37831605">
            <w:pPr>
              <w:keepNext w:val="0"/>
              <w:keepLines w:val="0"/>
              <w:pageBreakBefore w:val="0"/>
              <w:widowControl w:val="0"/>
              <w:spacing w:line="240" w:lineRule="auto"/>
              <w:ind w:firstLine="0"/>
              <w:jc w:val="center"/>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总价（小写）</w:t>
            </w:r>
          </w:p>
        </w:tc>
      </w:tr>
      <w:tr w14:paraId="1396F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4644" w:type="dxa"/>
            <w:noWrap w:val="0"/>
            <w:vAlign w:val="center"/>
          </w:tcPr>
          <w:p w14:paraId="7882531B">
            <w:pPr>
              <w:keepNext w:val="0"/>
              <w:keepLines w:val="0"/>
              <w:pageBreakBefore w:val="0"/>
              <w:widowControl w:val="0"/>
              <w:spacing w:line="240" w:lineRule="auto"/>
              <w:ind w:firstLine="0"/>
              <w:jc w:val="center"/>
              <w:rPr>
                <w:rFonts w:hint="default"/>
                <w:color w:val="000000" w:themeColor="text1"/>
                <w:highlight w:val="none"/>
                <w:vertAlign w:val="baseline"/>
                <w:lang w:val="en-US" w:eastAsia="zh-CN"/>
                <w14:textFill>
                  <w14:solidFill>
                    <w14:schemeClr w14:val="tx1"/>
                  </w14:solidFill>
                </w14:textFill>
              </w:rPr>
            </w:pPr>
          </w:p>
        </w:tc>
        <w:tc>
          <w:tcPr>
            <w:tcW w:w="4644" w:type="dxa"/>
            <w:noWrap w:val="0"/>
            <w:vAlign w:val="center"/>
          </w:tcPr>
          <w:p w14:paraId="792EFBFC">
            <w:pPr>
              <w:keepNext w:val="0"/>
              <w:keepLines w:val="0"/>
              <w:pageBreakBefore w:val="0"/>
              <w:widowControl w:val="0"/>
              <w:spacing w:line="240" w:lineRule="auto"/>
              <w:ind w:firstLine="0"/>
              <w:jc w:val="center"/>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u w:val="single"/>
                <w:vertAlign w:val="baseline"/>
                <w:lang w:val="en-US" w:eastAsia="zh-CN"/>
                <w14:textFill>
                  <w14:solidFill>
                    <w14:schemeClr w14:val="tx1"/>
                  </w14:solidFill>
                </w14:textFill>
              </w:rPr>
              <w:t xml:space="preserve">          </w:t>
            </w:r>
            <w:r>
              <w:rPr>
                <w:rFonts w:hint="eastAsia"/>
                <w:color w:val="000000" w:themeColor="text1"/>
                <w:highlight w:val="none"/>
                <w:vertAlign w:val="baseline"/>
                <w:lang w:val="en-US" w:eastAsia="zh-CN"/>
                <w14:textFill>
                  <w14:solidFill>
                    <w14:schemeClr w14:val="tx1"/>
                  </w14:solidFill>
                </w14:textFill>
              </w:rPr>
              <w:t>元</w:t>
            </w:r>
          </w:p>
        </w:tc>
      </w:tr>
    </w:tbl>
    <w:p w14:paraId="37A0B7AC">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年   月    日</w:t>
      </w:r>
    </w:p>
    <w:p w14:paraId="36EFEB25">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p>
    <w:p w14:paraId="409C0E40">
      <w:pPr>
        <w:pStyle w:val="4"/>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目录</w:t>
      </w:r>
      <w:r>
        <w:rPr>
          <w:rFonts w:hint="eastAsia"/>
          <w:color w:val="000000" w:themeColor="text1"/>
          <w:highlight w:val="none"/>
          <w:lang w:val="en-US" w:eastAsia="zh-CN"/>
          <w14:textFill>
            <w14:solidFill>
              <w14:schemeClr w14:val="tx1"/>
            </w14:solidFill>
          </w14:textFill>
        </w:rPr>
        <w:t>二</w:t>
      </w:r>
      <w:r>
        <w:rPr>
          <w:rFonts w:hint="eastAsia"/>
          <w:color w:val="000000" w:themeColor="text1"/>
          <w:highlight w:val="none"/>
          <w14:textFill>
            <w14:solidFill>
              <w14:schemeClr w14:val="tx1"/>
            </w14:solidFill>
          </w14:textFill>
        </w:rPr>
        <w:t>、投标分项报价表</w:t>
      </w:r>
    </w:p>
    <w:p w14:paraId="57AA0BC4">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投标分项报价表（工程）</w:t>
      </w:r>
    </w:p>
    <w:p w14:paraId="315A2EC3">
      <w:pPr>
        <w:keepNext w:val="0"/>
        <w:keepLines w:val="0"/>
        <w:pageBreakBefore w:val="0"/>
        <w:widowControl w:val="0"/>
        <w:ind w:firstLine="0"/>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投标人根据附件工程量清单格式提供已标价工程量报价清单</w:t>
      </w:r>
    </w:p>
    <w:p w14:paraId="4C8148E4">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p>
    <w:p w14:paraId="38E63AA4">
      <w:pPr>
        <w:pStyle w:val="4"/>
        <w:keepNext/>
        <w:keepLines/>
        <w:pageBreakBefore w:val="0"/>
        <w:widowControl w:val="0"/>
        <w:ind w:firstLine="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目录三、投标函</w:t>
      </w:r>
    </w:p>
    <w:p w14:paraId="7F1BADE4">
      <w:pPr>
        <w:ind w:left="0" w:firstLine="0"/>
        <w:jc w:val="center"/>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投标函</w:t>
      </w:r>
    </w:p>
    <w:p w14:paraId="0F4DA24D">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致：</w:t>
      </w:r>
      <w:r>
        <w:rPr>
          <w:rFonts w:hint="eastAsia"/>
          <w:color w:val="000000" w:themeColor="text1"/>
          <w:highlight w:val="none"/>
          <w:lang w:eastAsia="zh-CN"/>
          <w14:textFill>
            <w14:solidFill>
              <w14:schemeClr w14:val="tx1"/>
            </w14:solidFill>
          </w14:textFill>
        </w:rPr>
        <w:t>南京师范大学</w:t>
      </w:r>
    </w:p>
    <w:p w14:paraId="78674CCF">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根据贵方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（项目名称、项目编号）投标邀请，正式授权下述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（签字人姓名、职务）代表</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（投标人名称），提交投标文件。</w:t>
      </w:r>
    </w:p>
    <w:p w14:paraId="144BCA0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据此函，签字人兹宣布声明和承诺如下：</w:t>
      </w:r>
    </w:p>
    <w:p w14:paraId="36B2FC95">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1.我公司的资格条件符合政府采购法和本次招标要求，我公司同意并向贵方提供了与投标有关的所有证据和资料。</w:t>
      </w:r>
    </w:p>
    <w:p w14:paraId="20136505">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2.我公司已详细审阅全部招标文件及其有效补充文件，放弃对招标文件任何误解的权利</w:t>
      </w:r>
      <w:r>
        <w:rPr>
          <w:rFonts w:hint="eastAsia"/>
          <w:color w:val="000000" w:themeColor="text1"/>
          <w:highlight w:val="none"/>
          <w:lang w:eastAsia="zh-CN"/>
          <w14:textFill>
            <w14:solidFill>
              <w14:schemeClr w14:val="tx1"/>
            </w14:solidFill>
          </w14:textFill>
        </w:rPr>
        <w:t>，在</w:t>
      </w:r>
      <w:r>
        <w:rPr>
          <w:rFonts w:hint="eastAsia"/>
          <w:color w:val="000000" w:themeColor="text1"/>
          <w:highlight w:val="none"/>
          <w14:textFill>
            <w14:solidFill>
              <w14:schemeClr w14:val="tx1"/>
            </w14:solidFill>
          </w14:textFill>
        </w:rPr>
        <w:t>提交投标文件后，不对招标文件本身提出质疑。否则，属于不诚信和故意扰乱政府采购活动行为，我们将无条件接受处罚。</w:t>
      </w:r>
    </w:p>
    <w:p w14:paraId="0236A093">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.我公司同意从规定的开标日期起遵循本投标文件，并在规定的投标有效期期满之前均具有约束力。</w:t>
      </w:r>
    </w:p>
    <w:p w14:paraId="10B8E898">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.一旦我公司中标，将根据招标文件的规定严格履行合同，并保证</w:t>
      </w:r>
      <w:r>
        <w:rPr>
          <w:rFonts w:hint="eastAsia"/>
          <w:color w:val="000000" w:themeColor="text1"/>
          <w:highlight w:val="none"/>
          <w:lang w:val="en-US" w:eastAsia="zh-CN"/>
          <w14:textFill>
            <w14:solidFill>
              <w14:schemeClr w14:val="tx1"/>
            </w14:solidFill>
          </w14:textFill>
        </w:rPr>
        <w:t>在合同履行期内完成本项目所述内容</w:t>
      </w:r>
      <w:r>
        <w:rPr>
          <w:rFonts w:hint="eastAsia"/>
          <w:color w:val="000000" w:themeColor="text1"/>
          <w:highlight w:val="none"/>
          <w14:textFill>
            <w14:solidFill>
              <w14:schemeClr w14:val="tx1"/>
            </w14:solidFill>
          </w14:textFill>
        </w:rPr>
        <w:t>。</w:t>
      </w:r>
    </w:p>
    <w:p w14:paraId="0BA7F8FE">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.我公司决不提供虚假材料谋取中标、决不采取不正当手段诋毁、排挤其他投标人、决不与采购人、</w:t>
      </w:r>
      <w:r>
        <w:rPr>
          <w:rFonts w:hint="eastAsia"/>
          <w:color w:val="000000" w:themeColor="text1"/>
          <w:highlight w:val="none"/>
          <w:lang w:eastAsia="zh-CN"/>
          <w14:textFill>
            <w14:solidFill>
              <w14:schemeClr w14:val="tx1"/>
            </w14:solidFill>
          </w14:textFill>
        </w:rPr>
        <w:t>其他</w:t>
      </w:r>
      <w:r>
        <w:rPr>
          <w:rFonts w:hint="eastAsia"/>
          <w:color w:val="000000" w:themeColor="text1"/>
          <w:highlight w:val="none"/>
          <w14:textFill>
            <w14:solidFill>
              <w14:schemeClr w14:val="tx1"/>
            </w14:solidFill>
          </w14:textFill>
        </w:rPr>
        <w:t>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42D5D191">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.与</w:t>
      </w:r>
      <w:r>
        <w:rPr>
          <w:rFonts w:hint="eastAsia"/>
          <w:color w:val="000000" w:themeColor="text1"/>
          <w:highlight w:val="none"/>
          <w:lang w:eastAsia="zh-CN"/>
          <w14:textFill>
            <w14:solidFill>
              <w14:schemeClr w14:val="tx1"/>
            </w14:solidFill>
          </w14:textFill>
        </w:rPr>
        <w:t>本次</w:t>
      </w:r>
      <w:r>
        <w:rPr>
          <w:rFonts w:hint="eastAsia"/>
          <w:color w:val="000000" w:themeColor="text1"/>
          <w:highlight w:val="none"/>
          <w14:textFill>
            <w14:solidFill>
              <w14:schemeClr w14:val="tx1"/>
            </w14:solidFill>
          </w14:textFill>
        </w:rPr>
        <w:t>投标有关的正式联系方式为：</w:t>
      </w:r>
    </w:p>
    <w:p w14:paraId="4D6FAD2E">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地址：</w:t>
      </w:r>
    </w:p>
    <w:p w14:paraId="6335D6E5">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固定电话：</w:t>
      </w:r>
    </w:p>
    <w:p w14:paraId="704D3A1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传真：</w:t>
      </w:r>
    </w:p>
    <w:p w14:paraId="32C72AF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开户银行：</w:t>
      </w:r>
    </w:p>
    <w:p w14:paraId="146C6701">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银行账号：</w:t>
      </w:r>
    </w:p>
    <w:p w14:paraId="71A09C6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投标人授权代表姓名（签字）：</w:t>
      </w:r>
    </w:p>
    <w:p w14:paraId="58536F3B">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投标人名称（盖章）：</w:t>
      </w:r>
    </w:p>
    <w:p w14:paraId="603DF7E8">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    年   月   日</w:t>
      </w:r>
    </w:p>
    <w:p w14:paraId="0C31D5B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p>
    <w:p w14:paraId="36DE707C">
      <w:pPr>
        <w:pStyle w:val="4"/>
        <w:keepNext/>
        <w:keepLines/>
        <w:pageBreakBefore w:val="0"/>
        <w:widowControl w:val="0"/>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目录</w:t>
      </w:r>
      <w:r>
        <w:rPr>
          <w:rFonts w:hint="eastAsia"/>
          <w:color w:val="000000" w:themeColor="text1"/>
          <w:highlight w:val="none"/>
          <w:lang w:val="en-US" w:eastAsia="zh-CN"/>
          <w14:textFill>
            <w14:solidFill>
              <w14:schemeClr w14:val="tx1"/>
            </w14:solidFill>
          </w14:textFill>
        </w:rPr>
        <w:t>四</w:t>
      </w:r>
      <w:r>
        <w:rPr>
          <w:rFonts w:hint="eastAsia"/>
          <w:color w:val="000000" w:themeColor="text1"/>
          <w:highlight w:val="none"/>
          <w14:textFill>
            <w14:solidFill>
              <w14:schemeClr w14:val="tx1"/>
            </w14:solidFill>
          </w14:textFill>
        </w:rPr>
        <w:t>、法定代表人身份证明格式或法定代表人授权书格式</w:t>
      </w:r>
    </w:p>
    <w:p w14:paraId="1082608E">
      <w:pPr>
        <w:keepNext w:val="0"/>
        <w:keepLines w:val="0"/>
        <w:pageBreakBefore w:val="0"/>
        <w:widowControl w:val="0"/>
        <w:ind w:firstLine="0"/>
        <w:jc w:val="cente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法定代表人身份证明（无授权委托的</w:t>
      </w:r>
      <w:r>
        <w:rPr>
          <w:rFonts w:hint="eastAsia"/>
          <w:b/>
          <w:bCs/>
          <w:color w:val="000000" w:themeColor="text1"/>
          <w:highlight w:val="none"/>
          <w:lang w:val="en-US" w:eastAsia="zh-CN"/>
          <w14:textFill>
            <w14:solidFill>
              <w14:schemeClr w14:val="tx1"/>
            </w14:solidFill>
          </w14:textFill>
        </w:rPr>
        <w:t>须</w:t>
      </w:r>
      <w:r>
        <w:rPr>
          <w:rFonts w:hint="eastAsia"/>
          <w:b/>
          <w:bCs/>
          <w:color w:val="000000" w:themeColor="text1"/>
          <w:highlight w:val="none"/>
          <w14:textFill>
            <w14:solidFill>
              <w14:schemeClr w14:val="tx1"/>
            </w14:solidFill>
          </w14:textFill>
        </w:rPr>
        <w:t>提供）</w:t>
      </w:r>
    </w:p>
    <w:p w14:paraId="05616EE1">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投标人名称：</w:t>
      </w:r>
    </w:p>
    <w:p w14:paraId="4A5612B7">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地址：</w:t>
      </w:r>
    </w:p>
    <w:p w14:paraId="69DC3A6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p>
    <w:p w14:paraId="1DE72F78">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身份证号码：</w:t>
      </w:r>
    </w:p>
    <w:p w14:paraId="57CEB6EB">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系</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（投标人名称）的法定代表人。</w:t>
      </w:r>
    </w:p>
    <w:p w14:paraId="750EA710">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特此证明。</w:t>
      </w:r>
    </w:p>
    <w:p w14:paraId="2B68F580">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投标人：（盖章）</w:t>
      </w:r>
    </w:p>
    <w:p w14:paraId="3A04DAEA">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法定代表人：（签字或盖章）</w:t>
      </w:r>
    </w:p>
    <w:p w14:paraId="117EC678">
      <w:pPr>
        <w:rPr>
          <w:rFonts w:hint="eastAsia"/>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日</w:t>
      </w:r>
    </w:p>
    <w:p w14:paraId="2E476D34">
      <w:pPr>
        <w:rPr>
          <w:rFonts w:hint="eastAsia"/>
          <w:color w:val="000000" w:themeColor="text1"/>
          <w:highlight w:val="none"/>
          <w14:textFill>
            <w14:solidFill>
              <w14:schemeClr w14:val="tx1"/>
            </w14:solidFill>
          </w14:textFill>
        </w:rPr>
      </w:pPr>
    </w:p>
    <w:p w14:paraId="21F35D7E">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附：法定代表人身份证复印件</w:t>
      </w:r>
    </w:p>
    <w:p w14:paraId="453FEEE2">
      <w:pPr>
        <w:rPr>
          <w:rFonts w:hint="eastAsia"/>
          <w:color w:val="000000" w:themeColor="text1"/>
          <w:highlight w:val="none"/>
          <w14:textFill>
            <w14:solidFill>
              <w14:schemeClr w14:val="tx1"/>
            </w14:solidFill>
          </w14:textFill>
        </w:rPr>
      </w:pPr>
    </w:p>
    <w:p w14:paraId="557E5142">
      <w:pPr>
        <w:rPr>
          <w:rFonts w:hint="eastAsia"/>
          <w:color w:val="000000" w:themeColor="text1"/>
          <w:highlight w:val="none"/>
          <w14:textFill>
            <w14:solidFill>
              <w14:schemeClr w14:val="tx1"/>
            </w14:solidFill>
          </w14:textFill>
        </w:rPr>
      </w:pPr>
    </w:p>
    <w:p w14:paraId="6767395B">
      <w:pPr>
        <w:rPr>
          <w:rFonts w:hint="eastAsia"/>
          <w:color w:val="000000" w:themeColor="text1"/>
          <w:highlight w:val="none"/>
          <w14:textFill>
            <w14:solidFill>
              <w14:schemeClr w14:val="tx1"/>
            </w14:solidFill>
          </w14:textFill>
        </w:rPr>
      </w:pPr>
    </w:p>
    <w:p w14:paraId="6D10E3E9">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p>
    <w:p w14:paraId="41E95AB7">
      <w:pPr>
        <w:keepNext w:val="0"/>
        <w:keepLines w:val="0"/>
        <w:pageBreakBefore w:val="0"/>
        <w:widowControl w:val="0"/>
        <w:ind w:firstLine="0"/>
        <w:jc w:val="cente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法定代表人授权委托书</w:t>
      </w:r>
    </w:p>
    <w:p w14:paraId="7779B020">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南京师范大学</w:t>
      </w:r>
      <w:r>
        <w:rPr>
          <w:rFonts w:hint="eastAsia"/>
          <w:color w:val="000000" w:themeColor="text1"/>
          <w:highlight w:val="none"/>
          <w14:textFill>
            <w14:solidFill>
              <w14:schemeClr w14:val="tx1"/>
            </w14:solidFill>
          </w14:textFill>
        </w:rPr>
        <w:t>：</w:t>
      </w:r>
    </w:p>
    <w:p w14:paraId="76D11E9B">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（投标人住址）的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（投标人名称）法定代表人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（投标人代表姓名、职务）为我公司的合法代理人，就贵方组织的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（项目名称、项目编号）投标，以我公司名义处理一切与之有关的事务。</w:t>
      </w:r>
    </w:p>
    <w:p w14:paraId="1DC53980">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本授权书于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日签字生效，特此声明。</w:t>
      </w:r>
    </w:p>
    <w:p w14:paraId="62B02381">
      <w:pPr>
        <w:rPr>
          <w:rFonts w:hint="eastAsia"/>
          <w:color w:val="000000" w:themeColor="text1"/>
          <w:highlight w:val="none"/>
          <w14:textFill>
            <w14:solidFill>
              <w14:schemeClr w14:val="tx1"/>
            </w14:solidFill>
          </w14:textFill>
        </w:rPr>
      </w:pPr>
    </w:p>
    <w:p w14:paraId="29D2B624">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法定代表人（签字</w:t>
      </w:r>
      <w:r>
        <w:rPr>
          <w:rFonts w:hint="eastAsia"/>
          <w:color w:val="000000" w:themeColor="text1"/>
          <w:highlight w:val="none"/>
          <w:lang w:val="en-US" w:eastAsia="zh-CN"/>
          <w14:textFill>
            <w14:solidFill>
              <w14:schemeClr w14:val="tx1"/>
            </w14:solidFill>
          </w14:textFill>
        </w:rPr>
        <w:t>或盖章</w:t>
      </w:r>
      <w:r>
        <w:rPr>
          <w:rFonts w:hint="eastAsia"/>
          <w:color w:val="000000" w:themeColor="text1"/>
          <w:highlight w:val="none"/>
          <w14:textFill>
            <w14:solidFill>
              <w14:schemeClr w14:val="tx1"/>
            </w14:solidFill>
          </w14:textFill>
        </w:rPr>
        <w:t>）：</w:t>
      </w:r>
    </w:p>
    <w:p w14:paraId="172E3B9C">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授权委托人（签字</w:t>
      </w:r>
      <w:r>
        <w:rPr>
          <w:rFonts w:hint="eastAsia"/>
          <w:color w:val="000000" w:themeColor="text1"/>
          <w:highlight w:val="none"/>
          <w:lang w:val="en-US" w:eastAsia="zh-CN"/>
          <w14:textFill>
            <w14:solidFill>
              <w14:schemeClr w14:val="tx1"/>
            </w14:solidFill>
          </w14:textFill>
        </w:rPr>
        <w:t>或盖章</w:t>
      </w:r>
      <w:r>
        <w:rPr>
          <w:rFonts w:hint="eastAsia"/>
          <w:color w:val="000000" w:themeColor="text1"/>
          <w:highlight w:val="none"/>
          <w14:textFill>
            <w14:solidFill>
              <w14:schemeClr w14:val="tx1"/>
            </w14:solidFill>
          </w14:textFill>
        </w:rPr>
        <w:t>）：</w:t>
      </w:r>
    </w:p>
    <w:p w14:paraId="5D0E5774">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投标人名称（盖章）：</w:t>
      </w:r>
    </w:p>
    <w:p w14:paraId="696ABC99">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日</w:t>
      </w:r>
    </w:p>
    <w:p w14:paraId="34AAEE25">
      <w:pPr>
        <w:rPr>
          <w:rFonts w:hint="eastAsia"/>
          <w:color w:val="000000" w:themeColor="text1"/>
          <w:highlight w:val="none"/>
          <w14:textFill>
            <w14:solidFill>
              <w14:schemeClr w14:val="tx1"/>
            </w14:solidFill>
          </w14:textFill>
        </w:rPr>
      </w:pPr>
    </w:p>
    <w:p w14:paraId="06E145DC">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法定代表人身份证复印件：</w:t>
      </w:r>
    </w:p>
    <w:p w14:paraId="3694DCE4">
      <w:pPr>
        <w:rPr>
          <w:rFonts w:hint="eastAsia"/>
          <w:color w:val="000000" w:themeColor="text1"/>
          <w:highlight w:val="none"/>
          <w14:textFill>
            <w14:solidFill>
              <w14:schemeClr w14:val="tx1"/>
            </w14:solidFill>
          </w14:textFill>
        </w:rPr>
      </w:pPr>
    </w:p>
    <w:p w14:paraId="5933DC52">
      <w:pPr>
        <w:rPr>
          <w:rFonts w:hint="eastAsia"/>
          <w:color w:val="000000" w:themeColor="text1"/>
          <w:highlight w:val="none"/>
          <w14:textFill>
            <w14:solidFill>
              <w14:schemeClr w14:val="tx1"/>
            </w14:solidFill>
          </w14:textFill>
        </w:rPr>
      </w:pPr>
    </w:p>
    <w:p w14:paraId="27F75E59">
      <w:pPr>
        <w:rPr>
          <w:rFonts w:hint="eastAsia" w:ascii="Times New Roman" w:hAnsi="Times New Roman"/>
          <w:color w:val="000000" w:themeColor="text1"/>
          <w:highlight w:val="none"/>
          <w14:textFill>
            <w14:solidFill>
              <w14:schemeClr w14:val="tx1"/>
            </w14:solidFill>
          </w14:textFill>
        </w:rPr>
      </w:pPr>
    </w:p>
    <w:p w14:paraId="51246898">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授权委托人身份证复印件：</w:t>
      </w:r>
    </w:p>
    <w:p w14:paraId="52AF8C17">
      <w:pPr>
        <w:rPr>
          <w:rFonts w:hint="eastAsia"/>
          <w:color w:val="000000" w:themeColor="text1"/>
          <w:highlight w:val="none"/>
          <w14:textFill>
            <w14:solidFill>
              <w14:schemeClr w14:val="tx1"/>
            </w14:solidFill>
          </w14:textFill>
        </w:rPr>
      </w:pPr>
    </w:p>
    <w:p w14:paraId="13D9A5E8">
      <w:pPr>
        <w:rPr>
          <w:rFonts w:hint="eastAsia"/>
          <w:color w:val="000000" w:themeColor="text1"/>
          <w:highlight w:val="none"/>
          <w14:textFill>
            <w14:solidFill>
              <w14:schemeClr w14:val="tx1"/>
            </w14:solidFill>
          </w14:textFill>
        </w:rPr>
      </w:pPr>
    </w:p>
    <w:p w14:paraId="5D3A385C">
      <w:pPr>
        <w:rPr>
          <w:rFonts w:hint="eastAsia"/>
          <w:color w:val="000000" w:themeColor="text1"/>
          <w:highlight w:val="none"/>
          <w14:textFill>
            <w14:solidFill>
              <w14:schemeClr w14:val="tx1"/>
            </w14:solidFill>
          </w14:textFill>
        </w:rPr>
      </w:pPr>
    </w:p>
    <w:p w14:paraId="2A825D8A">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投标人或分支机构近半年内任意一个月为</w:t>
      </w:r>
      <w:r>
        <w:rPr>
          <w:rFonts w:hint="eastAsia"/>
          <w:color w:val="000000" w:themeColor="text1"/>
          <w:highlight w:val="none"/>
          <w14:textFill>
            <w14:solidFill>
              <w14:schemeClr w14:val="tx1"/>
            </w14:solidFill>
          </w14:textFill>
        </w:rPr>
        <w:t>授权委托人</w:t>
      </w:r>
      <w:r>
        <w:rPr>
          <w:rFonts w:hint="eastAsia"/>
          <w:color w:val="000000" w:themeColor="text1"/>
          <w:highlight w:val="none"/>
          <w:lang w:val="en-US" w:eastAsia="zh-CN"/>
          <w14:textFill>
            <w14:solidFill>
              <w14:schemeClr w14:val="tx1"/>
            </w14:solidFill>
          </w14:textFill>
        </w:rPr>
        <w:t>缴纳</w:t>
      </w:r>
      <w:r>
        <w:rPr>
          <w:rFonts w:hint="eastAsia"/>
          <w:color w:val="000000" w:themeColor="text1"/>
          <w:highlight w:val="none"/>
          <w14:textFill>
            <w14:solidFill>
              <w14:schemeClr w14:val="tx1"/>
            </w14:solidFill>
          </w14:textFill>
        </w:rPr>
        <w:t>社保</w:t>
      </w:r>
      <w:r>
        <w:rPr>
          <w:rFonts w:hint="eastAsia"/>
          <w:color w:val="000000" w:themeColor="text1"/>
          <w:highlight w:val="none"/>
          <w:lang w:val="en-US" w:eastAsia="zh-CN"/>
          <w14:textFill>
            <w14:solidFill>
              <w14:schemeClr w14:val="tx1"/>
            </w14:solidFill>
          </w14:textFill>
        </w:rPr>
        <w:t>的</w:t>
      </w:r>
      <w:r>
        <w:rPr>
          <w:rFonts w:hint="eastAsia"/>
          <w:color w:val="000000" w:themeColor="text1"/>
          <w:highlight w:val="none"/>
          <w14:textFill>
            <w14:solidFill>
              <w14:schemeClr w14:val="tx1"/>
            </w14:solidFill>
          </w14:textFill>
        </w:rPr>
        <w:t>证明：</w:t>
      </w:r>
    </w:p>
    <w:p w14:paraId="5D30B80C">
      <w:pPr>
        <w:rPr>
          <w:rFonts w:hint="eastAsia" w:ascii="Times New Roman" w:hAnsi="Times New Roman"/>
          <w:color w:val="000000" w:themeColor="text1"/>
          <w:highlight w:val="none"/>
          <w14:textFill>
            <w14:solidFill>
              <w14:schemeClr w14:val="tx1"/>
            </w14:solidFill>
          </w14:textFill>
        </w:rPr>
      </w:pPr>
    </w:p>
    <w:p w14:paraId="70262616">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br w:type="page" w:clear="all"/>
      </w:r>
    </w:p>
    <w:p w14:paraId="131F9A78">
      <w:pPr>
        <w:pStyle w:val="4"/>
        <w:ind w:left="0" w:firstLine="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目录</w:t>
      </w:r>
      <w:r>
        <w:rPr>
          <w:rFonts w:hint="eastAsia"/>
          <w:color w:val="000000" w:themeColor="text1"/>
          <w:highlight w:val="none"/>
          <w:lang w:val="en-US" w:eastAsia="zh-CN"/>
          <w14:textFill>
            <w14:solidFill>
              <w14:schemeClr w14:val="tx1"/>
            </w14:solidFill>
          </w14:textFill>
        </w:rPr>
        <w:t>五</w:t>
      </w:r>
      <w:r>
        <w:rPr>
          <w:rFonts w:hint="default"/>
          <w:color w:val="000000" w:themeColor="text1"/>
          <w:highlight w:val="none"/>
          <w:lang w:val="en-US" w:eastAsia="zh-CN"/>
          <w14:textFill>
            <w14:solidFill>
              <w14:schemeClr w14:val="tx1"/>
            </w14:solidFill>
          </w14:textFill>
        </w:rPr>
        <w:t>、资格证明文件</w:t>
      </w:r>
    </w:p>
    <w:p w14:paraId="4A596C32">
      <w:pPr>
        <w:ind w:left="0" w:firstLine="0"/>
        <w:jc w:val="center"/>
        <w:rPr>
          <w:rFonts w:hint="default"/>
          <w:b/>
          <w:bCs/>
          <w:color w:val="000000" w:themeColor="text1"/>
          <w:highlight w:val="none"/>
          <w:lang w:val="en-US" w:eastAsia="zh-CN"/>
          <w14:textFill>
            <w14:solidFill>
              <w14:schemeClr w14:val="tx1"/>
            </w14:solidFill>
          </w14:textFill>
        </w:rPr>
      </w:pPr>
      <w:r>
        <w:rPr>
          <w:rFonts w:hint="default"/>
          <w:b/>
          <w:bCs/>
          <w:color w:val="000000" w:themeColor="text1"/>
          <w:highlight w:val="none"/>
          <w:lang w:val="en-US" w:eastAsia="zh-CN"/>
          <w14:textFill>
            <w14:solidFill>
              <w14:schemeClr w14:val="tx1"/>
            </w14:solidFill>
          </w14:textFill>
        </w:rPr>
        <w:t>资格证明文件</w:t>
      </w:r>
    </w:p>
    <w:p w14:paraId="4C15D743">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1.具有独立承担民事责任的能力（提供法人或者其他组织的营业执照，自然人的身份证明）</w:t>
      </w:r>
    </w:p>
    <w:p w14:paraId="7BDC50B7">
      <w:pPr>
        <w:rPr>
          <w:rFonts w:hint="eastAsia"/>
          <w:color w:val="000000" w:themeColor="text1"/>
          <w:highlight w:val="none"/>
          <w:lang w:val="en-US" w:eastAsia="zh-CN"/>
          <w14:textFill>
            <w14:solidFill>
              <w14:schemeClr w14:val="tx1"/>
            </w14:solidFill>
          </w14:textFill>
        </w:rPr>
      </w:pPr>
    </w:p>
    <w:p w14:paraId="27578D79">
      <w:pPr>
        <w:rPr>
          <w:rFonts w:hint="eastAsia"/>
          <w:color w:val="000000" w:themeColor="text1"/>
          <w:highlight w:val="none"/>
          <w:lang w:val="en-US" w:eastAsia="zh-CN"/>
          <w14:textFill>
            <w14:solidFill>
              <w14:schemeClr w14:val="tx1"/>
            </w14:solidFill>
          </w14:textFill>
        </w:rPr>
      </w:pPr>
    </w:p>
    <w:p w14:paraId="6D5A4873">
      <w:pPr>
        <w:rPr>
          <w:rFonts w:hint="eastAsia"/>
          <w:color w:val="000000" w:themeColor="text1"/>
          <w:highlight w:val="none"/>
          <w:lang w:val="en-US" w:eastAsia="zh-CN"/>
          <w14:textFill>
            <w14:solidFill>
              <w14:schemeClr w14:val="tx1"/>
            </w14:solidFill>
          </w14:textFill>
        </w:rPr>
      </w:pPr>
    </w:p>
    <w:p w14:paraId="62D19F20">
      <w:pPr>
        <w:rPr>
          <w:rFonts w:hint="eastAsia"/>
          <w:color w:val="000000" w:themeColor="text1"/>
          <w:highlight w:val="none"/>
          <w:lang w:val="en-US" w:eastAsia="zh-CN"/>
          <w14:textFill>
            <w14:solidFill>
              <w14:schemeClr w14:val="tx1"/>
            </w14:solidFill>
          </w14:textFill>
        </w:rPr>
      </w:pPr>
    </w:p>
    <w:p w14:paraId="35342B82">
      <w:pPr>
        <w:rPr>
          <w:rFonts w:hint="eastAsia"/>
          <w:color w:val="000000" w:themeColor="text1"/>
          <w:highlight w:val="none"/>
          <w:lang w:val="en-US" w:eastAsia="zh-CN"/>
          <w14:textFill>
            <w14:solidFill>
              <w14:schemeClr w14:val="tx1"/>
            </w14:solidFill>
          </w14:textFill>
        </w:rPr>
      </w:pPr>
    </w:p>
    <w:p w14:paraId="5F58470C">
      <w:pPr>
        <w:rPr>
          <w:rFonts w:hint="eastAsia"/>
          <w:color w:val="000000" w:themeColor="text1"/>
          <w:highlight w:val="none"/>
          <w:lang w:val="en-US" w:eastAsia="zh-CN"/>
          <w14:textFill>
            <w14:solidFill>
              <w14:schemeClr w14:val="tx1"/>
            </w14:solidFill>
          </w14:textFill>
        </w:rPr>
      </w:pPr>
    </w:p>
    <w:p w14:paraId="7C1FBDA4">
      <w:pPr>
        <w:rPr>
          <w:rFonts w:hint="eastAsia"/>
          <w:color w:val="000000" w:themeColor="text1"/>
          <w:highlight w:val="none"/>
          <w:lang w:val="en-US" w:eastAsia="zh-CN"/>
          <w14:textFill>
            <w14:solidFill>
              <w14:schemeClr w14:val="tx1"/>
            </w14:solidFill>
          </w14:textFill>
        </w:rPr>
      </w:pPr>
    </w:p>
    <w:p w14:paraId="6A33394F">
      <w:pPr>
        <w:rPr>
          <w:rFonts w:hint="eastAsia"/>
          <w:color w:val="000000" w:themeColor="text1"/>
          <w:highlight w:val="none"/>
          <w:lang w:val="en-US" w:eastAsia="zh-CN"/>
          <w14:textFill>
            <w14:solidFill>
              <w14:schemeClr w14:val="tx1"/>
            </w14:solidFill>
          </w14:textFill>
        </w:rPr>
      </w:pPr>
    </w:p>
    <w:p w14:paraId="5FD7E67F">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default"/>
          <w:color w:val="000000" w:themeColor="text1"/>
          <w:highlight w:val="none"/>
          <w:lang w:val="en-US" w:eastAsia="zh-CN"/>
          <w14:textFill>
            <w14:solidFill>
              <w14:schemeClr w14:val="tx1"/>
            </w14:solidFill>
          </w14:textFill>
        </w:rPr>
        <w:t>具有良好的商业信誉和健全的财务会计制度（提供以下三种材料的任意一种，复印件加盖公章）：</w:t>
      </w:r>
    </w:p>
    <w:p w14:paraId="712E74EA">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①上一年度的经第三方会计师事务所审计的财务报告复印件</w:t>
      </w:r>
      <w:r>
        <w:rPr>
          <w:rFonts w:hint="eastAsia"/>
          <w:color w:val="000000" w:themeColor="text1"/>
          <w:highlight w:val="none"/>
          <w:lang w:val="en-US" w:eastAsia="zh-CN"/>
          <w14:textFill>
            <w14:solidFill>
              <w14:schemeClr w14:val="tx1"/>
            </w14:solidFill>
          </w14:textFill>
        </w:rPr>
        <w:t>（包括报告及报表等内容，并由注册会计师签名、盖章以及会计师事务所盖章）</w:t>
      </w:r>
      <w:r>
        <w:rPr>
          <w:rFonts w:hint="default"/>
          <w:color w:val="000000" w:themeColor="text1"/>
          <w:highlight w:val="none"/>
          <w:lang w:val="en-US" w:eastAsia="zh-CN"/>
          <w14:textFill>
            <w14:solidFill>
              <w14:schemeClr w14:val="tx1"/>
            </w14:solidFill>
          </w14:textFill>
        </w:rPr>
        <w:t>；</w:t>
      </w:r>
    </w:p>
    <w:p w14:paraId="00EBC168">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②提交投标文件截止日前六个月内基本开户银行出具的资信证明；</w:t>
      </w:r>
    </w:p>
    <w:p w14:paraId="28C7D081">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③提交投标文件截止时间前六个月内任意一个月的财务状况记录（至少包括资产负债表和损益表，并加盖公章）。</w:t>
      </w:r>
    </w:p>
    <w:p w14:paraId="1BF68898">
      <w:pPr>
        <w:rPr>
          <w:rFonts w:hint="eastAsia"/>
          <w:color w:val="000000" w:themeColor="text1"/>
          <w:highlight w:val="none"/>
          <w:lang w:val="en-US" w:eastAsia="zh-CN"/>
          <w14:textFill>
            <w14:solidFill>
              <w14:schemeClr w14:val="tx1"/>
            </w14:solidFill>
          </w14:textFill>
        </w:rPr>
      </w:pPr>
    </w:p>
    <w:p w14:paraId="04876B4F">
      <w:pPr>
        <w:rPr>
          <w:rFonts w:hint="eastAsia"/>
          <w:color w:val="000000" w:themeColor="text1"/>
          <w:highlight w:val="none"/>
          <w:lang w:val="en-US" w:eastAsia="zh-CN"/>
          <w14:textFill>
            <w14:solidFill>
              <w14:schemeClr w14:val="tx1"/>
            </w14:solidFill>
          </w14:textFill>
        </w:rPr>
      </w:pPr>
    </w:p>
    <w:p w14:paraId="3273D653">
      <w:pPr>
        <w:rPr>
          <w:rFonts w:hint="eastAsia"/>
          <w:color w:val="000000" w:themeColor="text1"/>
          <w:highlight w:val="none"/>
          <w:lang w:val="en-US" w:eastAsia="zh-CN"/>
          <w14:textFill>
            <w14:solidFill>
              <w14:schemeClr w14:val="tx1"/>
            </w14:solidFill>
          </w14:textFill>
        </w:rPr>
      </w:pPr>
    </w:p>
    <w:p w14:paraId="517E5CA4">
      <w:pPr>
        <w:rPr>
          <w:rFonts w:hint="eastAsia"/>
          <w:color w:val="000000" w:themeColor="text1"/>
          <w:highlight w:val="none"/>
          <w:lang w:val="en-US" w:eastAsia="zh-CN"/>
          <w14:textFill>
            <w14:solidFill>
              <w14:schemeClr w14:val="tx1"/>
            </w14:solidFill>
          </w14:textFill>
        </w:rPr>
      </w:pPr>
    </w:p>
    <w:p w14:paraId="3FFBC3D2">
      <w:pPr>
        <w:rPr>
          <w:rFonts w:hint="eastAsia"/>
          <w:color w:val="000000" w:themeColor="text1"/>
          <w:highlight w:val="none"/>
          <w:lang w:val="en-US" w:eastAsia="zh-CN"/>
          <w14:textFill>
            <w14:solidFill>
              <w14:schemeClr w14:val="tx1"/>
            </w14:solidFill>
          </w14:textFill>
        </w:rPr>
      </w:pPr>
    </w:p>
    <w:p w14:paraId="596E2A9F">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p>
    <w:p w14:paraId="59729F49">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default"/>
          <w:color w:val="000000" w:themeColor="text1"/>
          <w:highlight w:val="none"/>
          <w:lang w:val="en-US" w:eastAsia="zh-CN"/>
          <w14:textFill>
            <w14:solidFill>
              <w14:schemeClr w14:val="tx1"/>
            </w14:solidFill>
          </w14:textFill>
        </w:rPr>
        <w:t>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或</w:t>
      </w:r>
      <w:r>
        <w:rPr>
          <w:rFonts w:hint="default"/>
          <w:color w:val="000000" w:themeColor="text1"/>
          <w:highlight w:val="none"/>
          <w:lang w:val="en-US" w:eastAsia="zh-CN"/>
          <w14:textFill>
            <w14:solidFill>
              <w14:schemeClr w14:val="tx1"/>
            </w14:solidFill>
          </w14:textFill>
        </w:rPr>
        <w:t>证明材料）</w:t>
      </w:r>
    </w:p>
    <w:p w14:paraId="4E07B032">
      <w:pPr>
        <w:rPr>
          <w:rFonts w:hint="eastAsia" w:ascii="Times New Roman" w:hAnsi="Times New Roman" w:eastAsia="宋体"/>
          <w:color w:val="000000" w:themeColor="text1"/>
          <w:highlight w:val="none"/>
          <w:lang w:val="en-US" w:eastAsia="zh-CN"/>
          <w14:textFill>
            <w14:solidFill>
              <w14:schemeClr w14:val="tx1"/>
            </w14:solidFill>
          </w14:textFill>
        </w:rPr>
      </w:pPr>
    </w:p>
    <w:p w14:paraId="3E82A707">
      <w:pPr>
        <w:ind w:left="0"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具备履行合同所必需的设备和专业技术能力的声明</w:t>
      </w:r>
    </w:p>
    <w:p w14:paraId="27ECF16D">
      <w:pPr>
        <w:rPr>
          <w:rFonts w:hint="eastAsia"/>
          <w:color w:val="000000" w:themeColor="text1"/>
          <w:highlight w:val="none"/>
          <w:lang w:eastAsia="zh-CN"/>
          <w14:textFill>
            <w14:solidFill>
              <w14:schemeClr w14:val="tx1"/>
            </w14:solidFill>
          </w14:textFill>
        </w:rPr>
      </w:pPr>
    </w:p>
    <w:p w14:paraId="2537244A">
      <w:pP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南京师范大学</w:t>
      </w:r>
      <w:r>
        <w:rPr>
          <w:rFonts w:hint="eastAsia"/>
          <w:color w:val="000000" w:themeColor="text1"/>
          <w:highlight w:val="none"/>
          <w14:textFill>
            <w14:solidFill>
              <w14:schemeClr w14:val="tx1"/>
            </w14:solidFill>
          </w14:textFill>
        </w:rPr>
        <w:t>：</w:t>
      </w:r>
    </w:p>
    <w:p w14:paraId="5C48B391">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zh-CN"/>
          <w14:textFill>
            <w14:solidFill>
              <w14:schemeClr w14:val="tx1"/>
            </w14:solidFill>
          </w14:textFill>
        </w:rPr>
        <w:t>投标人</w:t>
      </w:r>
      <w:r>
        <w:rPr>
          <w:rFonts w:hint="eastAsia"/>
          <w:color w:val="000000" w:themeColor="text1"/>
          <w:highlight w:val="none"/>
          <w:u w:val="single"/>
          <w14:textFill>
            <w14:solidFill>
              <w14:schemeClr w14:val="tx1"/>
            </w14:solidFill>
          </w14:textFill>
        </w:rPr>
        <w:t>名称）</w:t>
      </w:r>
      <w:r>
        <w:rPr>
          <w:rFonts w:hint="eastAsia"/>
          <w:color w:val="000000" w:themeColor="text1"/>
          <w:highlight w:val="none"/>
          <w14:textFill>
            <w14:solidFill>
              <w14:schemeClr w14:val="tx1"/>
            </w14:solidFill>
          </w14:textFill>
        </w:rPr>
        <w:t>郑重声明：我公司具备履行本项采购合同所必需的设备和专业技术能力，为履行本项采购合同我公司具备如下主要设备和主要专业技术能力：</w:t>
      </w:r>
    </w:p>
    <w:p w14:paraId="6FCDAC29">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。（若有）</w:t>
      </w:r>
    </w:p>
    <w:p w14:paraId="215950F7">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。（若有）</w:t>
      </w:r>
    </w:p>
    <w:p w14:paraId="0814B9D1">
      <w:pPr>
        <w:rPr>
          <w:color w:val="000000" w:themeColor="text1"/>
          <w:highlight w:val="none"/>
          <w14:textFill>
            <w14:solidFill>
              <w14:schemeClr w14:val="tx1"/>
            </w14:solidFill>
          </w14:textFill>
        </w:rPr>
      </w:pPr>
    </w:p>
    <w:p w14:paraId="432A6DC8">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投标人名称：（盖章）</w:t>
      </w:r>
    </w:p>
    <w:p w14:paraId="18D15E3C">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日</w:t>
      </w:r>
    </w:p>
    <w:p w14:paraId="04044974">
      <w:pPr>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其他证明材料及文件：（如果</w:t>
      </w:r>
      <w:r>
        <w:rPr>
          <w:rFonts w:hint="eastAsia"/>
          <w:color w:val="000000" w:themeColor="text1"/>
          <w:highlight w:val="none"/>
          <w:lang w:val="zh-CN"/>
          <w14:textFill>
            <w14:solidFill>
              <w14:schemeClr w14:val="tx1"/>
            </w14:solidFill>
          </w14:textFill>
        </w:rPr>
        <w:t>投标人</w:t>
      </w:r>
      <w:r>
        <w:rPr>
          <w:rFonts w:hint="eastAsia"/>
          <w:color w:val="000000" w:themeColor="text1"/>
          <w:highlight w:val="none"/>
          <w14:textFill>
            <w14:solidFill>
              <w14:schemeClr w14:val="tx1"/>
            </w14:solidFill>
          </w14:textFill>
        </w:rPr>
        <w:t>认为需要提供的话）</w:t>
      </w:r>
    </w:p>
    <w:p w14:paraId="7A278DA2">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clear="all"/>
      </w:r>
    </w:p>
    <w:p w14:paraId="1CE33CD5">
      <w:pPr>
        <w:rPr>
          <w:rFonts w:hint="default"/>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4.</w:t>
      </w:r>
      <w:r>
        <w:rPr>
          <w:rFonts w:hint="default" w:ascii="Times New Roman" w:hAnsi="Times New Roman" w:eastAsia="宋体"/>
          <w:color w:val="000000" w:themeColor="text1"/>
          <w:highlight w:val="none"/>
          <w:lang w:val="en-US" w:eastAsia="zh-CN"/>
          <w14:textFill>
            <w14:solidFill>
              <w14:schemeClr w14:val="tx1"/>
            </w14:solidFill>
          </w14:textFill>
        </w:rPr>
        <w:t>有依法缴纳税收和社会保障资金的良好记录</w:t>
      </w:r>
      <w:r>
        <w:rPr>
          <w:rFonts w:hint="eastAsia" w:ascii="Times New Roman" w:hAnsi="Times New Roman" w:eastAsia="宋体"/>
          <w:color w:val="000000" w:themeColor="text1"/>
          <w:highlight w:val="none"/>
          <w:lang w:val="en-US" w:eastAsia="zh-CN"/>
          <w14:textFill>
            <w14:solidFill>
              <w14:schemeClr w14:val="tx1"/>
            </w14:solidFill>
          </w14:textFill>
        </w:rPr>
        <w:t>【</w:t>
      </w:r>
      <w:r>
        <w:rPr>
          <w:rFonts w:hint="default" w:ascii="Times New Roman" w:hAnsi="Times New Roman" w:eastAsia="宋体"/>
          <w:color w:val="000000" w:themeColor="text1"/>
          <w:highlight w:val="none"/>
          <w:lang w:val="en-US" w:eastAsia="zh-CN"/>
          <w14:textFill>
            <w14:solidFill>
              <w14:schemeClr w14:val="tx1"/>
            </w14:solidFill>
          </w14:textFill>
        </w:rPr>
        <w:t>投标人需要提供提交投标文件截止日前六个月内任意一个月的企业依法缴纳税收（个人所得税除外）和社会保障资金的记</w:t>
      </w:r>
      <w:r>
        <w:rPr>
          <w:rFonts w:hint="default"/>
          <w:color w:val="000000" w:themeColor="text1"/>
          <w:highlight w:val="none"/>
          <w:lang w:val="en-US" w:eastAsia="zh-CN"/>
          <w14:textFill>
            <w14:solidFill>
              <w14:schemeClr w14:val="tx1"/>
            </w14:solidFill>
          </w14:textFill>
        </w:rPr>
        <w:t>录（如依法免税或依法不需要缴纳社会保障资金的，提供相应证明文件，自拟文件无效</w:t>
      </w:r>
      <w:r>
        <w:rPr>
          <w:rFonts w:hint="eastAsia"/>
          <w:color w:val="000000" w:themeColor="text1"/>
          <w:highlight w:val="none"/>
          <w:lang w:val="en-US" w:eastAsia="zh-CN"/>
          <w14:textFill>
            <w14:solidFill>
              <w14:schemeClr w14:val="tx1"/>
            </w14:solidFill>
          </w14:textFill>
        </w:rPr>
        <w:t>】</w:t>
      </w:r>
    </w:p>
    <w:p w14:paraId="1D7574E4">
      <w:pPr>
        <w:rPr>
          <w:rFonts w:hint="eastAsia" w:ascii="Times New Roman" w:hAnsi="Times New Roman" w:eastAsia="宋体"/>
          <w:color w:val="000000" w:themeColor="text1"/>
          <w:highlight w:val="none"/>
          <w:lang w:val="en-US" w:eastAsia="zh-CN"/>
          <w14:textFill>
            <w14:solidFill>
              <w14:schemeClr w14:val="tx1"/>
            </w14:solidFill>
          </w14:textFill>
        </w:rPr>
      </w:pPr>
    </w:p>
    <w:p w14:paraId="3D47B666">
      <w:pPr>
        <w:rPr>
          <w:rFonts w:hint="eastAsia" w:ascii="Times New Roman" w:hAnsi="Times New Roman" w:eastAsia="宋体"/>
          <w:color w:val="000000" w:themeColor="text1"/>
          <w:highlight w:val="none"/>
          <w:lang w:val="en-US" w:eastAsia="zh-CN"/>
          <w14:textFill>
            <w14:solidFill>
              <w14:schemeClr w14:val="tx1"/>
            </w14:solidFill>
          </w14:textFill>
        </w:rPr>
      </w:pPr>
    </w:p>
    <w:p w14:paraId="5065F074">
      <w:pPr>
        <w:rPr>
          <w:rFonts w:hint="eastAsia" w:ascii="Times New Roman" w:hAnsi="Times New Roman" w:eastAsia="宋体"/>
          <w:color w:val="000000" w:themeColor="text1"/>
          <w:highlight w:val="none"/>
          <w:lang w:val="en-US" w:eastAsia="zh-CN"/>
          <w14:textFill>
            <w14:solidFill>
              <w14:schemeClr w14:val="tx1"/>
            </w14:solidFill>
          </w14:textFill>
        </w:rPr>
      </w:pPr>
    </w:p>
    <w:p w14:paraId="5337E118">
      <w:pPr>
        <w:rPr>
          <w:rFonts w:hint="eastAsia" w:ascii="Times New Roman" w:hAnsi="Times New Roman" w:eastAsia="宋体"/>
          <w:color w:val="000000" w:themeColor="text1"/>
          <w:highlight w:val="none"/>
          <w:lang w:val="en-US" w:eastAsia="zh-CN"/>
          <w14:textFill>
            <w14:solidFill>
              <w14:schemeClr w14:val="tx1"/>
            </w14:solidFill>
          </w14:textFill>
        </w:rPr>
      </w:pPr>
    </w:p>
    <w:p w14:paraId="500F4707">
      <w:pPr>
        <w:rPr>
          <w:rFonts w:hint="eastAsia" w:ascii="Times New Roman" w:hAnsi="Times New Roman" w:eastAsia="宋体"/>
          <w:color w:val="000000" w:themeColor="text1"/>
          <w:highlight w:val="none"/>
          <w:lang w:val="en-US" w:eastAsia="zh-CN"/>
          <w14:textFill>
            <w14:solidFill>
              <w14:schemeClr w14:val="tx1"/>
            </w14:solidFill>
          </w14:textFill>
        </w:rPr>
      </w:pPr>
    </w:p>
    <w:p w14:paraId="29E1941A">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5.</w:t>
      </w:r>
      <w:r>
        <w:rPr>
          <w:rFonts w:hint="default" w:ascii="Times New Roman" w:hAnsi="Times New Roman" w:eastAsia="宋体"/>
          <w:color w:val="000000" w:themeColor="text1"/>
          <w:highlight w:val="none"/>
          <w:lang w:val="en-US" w:eastAsia="zh-CN"/>
          <w14:textFill>
            <w14:solidFill>
              <w14:schemeClr w14:val="tx1"/>
            </w14:solidFill>
          </w14:textFill>
        </w:rPr>
        <w:t>参加本次采购活动前三年内，在经营活动中没有重大违法记录（提供参加本次采购活动前三年内在经营活动中没有重大违法记录的书面声明）</w:t>
      </w:r>
    </w:p>
    <w:p w14:paraId="7D5EDE82">
      <w:pPr>
        <w:rPr>
          <w:rFonts w:hint="eastAsia" w:ascii="Times New Roman" w:hAnsi="Times New Roman" w:eastAsia="宋体"/>
          <w:color w:val="000000" w:themeColor="text1"/>
          <w:highlight w:val="none"/>
          <w:lang w:val="en-US" w:eastAsia="zh-CN"/>
          <w14:textFill>
            <w14:solidFill>
              <w14:schemeClr w14:val="tx1"/>
            </w14:solidFill>
          </w14:textFill>
        </w:rPr>
      </w:pPr>
    </w:p>
    <w:p w14:paraId="31B0E043">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无重大违法记录声明</w:t>
      </w:r>
    </w:p>
    <w:p w14:paraId="0FFB702A">
      <w:pPr>
        <w:rPr>
          <w:rFonts w:hint="eastAsia" w:ascii="Times New Roman" w:hAnsi="Times New Roman" w:eastAsia="宋体"/>
          <w:color w:val="000000" w:themeColor="text1"/>
          <w:highlight w:val="none"/>
          <w:lang w:val="en-US" w:eastAsia="zh-CN"/>
          <w14:textFill>
            <w14:solidFill>
              <w14:schemeClr w14:val="tx1"/>
            </w14:solidFill>
          </w14:textFill>
        </w:rPr>
      </w:pPr>
    </w:p>
    <w:p w14:paraId="71A2B5F2">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南京师范大学</w:t>
      </w:r>
      <w:r>
        <w:rPr>
          <w:rFonts w:hint="eastAsia" w:ascii="Times New Roman" w:hAnsi="Times New Roman" w:eastAsia="宋体"/>
          <w:color w:val="000000" w:themeColor="text1"/>
          <w:highlight w:val="none"/>
          <w:lang w:val="en-US" w:eastAsia="zh-CN"/>
          <w14:textFill>
            <w14:solidFill>
              <w14:schemeClr w14:val="tx1"/>
            </w14:solidFill>
          </w14:textFill>
        </w:rPr>
        <w:t>：</w:t>
      </w:r>
    </w:p>
    <w:p w14:paraId="51F5414B">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郑重声明：</w:t>
      </w:r>
    </w:p>
    <w:p w14:paraId="62D7A062">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参加政府采购活动前3年内在经营活动中</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highlight w:val="none"/>
          <w:lang w:val="en-US" w:eastAsia="zh-CN"/>
          <w14:textFill>
            <w14:solidFill>
              <w14:schemeClr w14:val="tx1"/>
            </w14:solidFill>
          </w14:textFill>
        </w:rPr>
        <w:t>（在下划线上如实填写：有或没有）重大违法记录。</w:t>
      </w:r>
    </w:p>
    <w:p w14:paraId="5E4D0100">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（说明：政府采购法第二十二条第一款第五项所称重大违法记录，是指投标人因违法经营受到刑事处罚或者责令停产停业、吊销许可证或者执照、较大数额罚款等行政处罚。）</w:t>
      </w:r>
    </w:p>
    <w:p w14:paraId="467E85F6">
      <w:pPr>
        <w:rPr>
          <w:rFonts w:hint="eastAsia" w:ascii="Times New Roman" w:hAnsi="Times New Roman" w:eastAsia="宋体"/>
          <w:color w:val="000000" w:themeColor="text1"/>
          <w:highlight w:val="none"/>
          <w:lang w:val="en-US" w:eastAsia="zh-CN"/>
          <w14:textFill>
            <w14:solidFill>
              <w14:schemeClr w14:val="tx1"/>
            </w14:solidFill>
          </w14:textFill>
        </w:rPr>
      </w:pPr>
    </w:p>
    <w:p w14:paraId="3C39AC4D">
      <w:pPr>
        <w:rPr>
          <w:rFonts w:hint="eastAsia" w:ascii="Times New Roman" w:hAnsi="Times New Roman" w:eastAsia="宋体"/>
          <w:color w:val="000000" w:themeColor="text1"/>
          <w:highlight w:val="none"/>
          <w:lang w:val="en-US" w:eastAsia="zh-CN"/>
          <w14:textFill>
            <w14:solidFill>
              <w14:schemeClr w14:val="tx1"/>
            </w14:solidFill>
          </w14:textFill>
        </w:rPr>
      </w:pPr>
    </w:p>
    <w:p w14:paraId="20197D03">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p>
    <w:p w14:paraId="2EC7108A">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日期：     年  月  日</w:t>
      </w:r>
    </w:p>
    <w:p w14:paraId="47D4D8F9">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p>
    <w:p w14:paraId="03E8F416">
      <w:pP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落实政府采购政策需满足的资格要求：</w:t>
      </w:r>
      <w:r>
        <w:rPr>
          <w:rFonts w:hint="eastAsia" w:ascii="宋体" w:hAnsi="宋体"/>
          <w:sz w:val="24"/>
          <w:szCs w:val="24"/>
        </w:rPr>
        <w:t>本项目专门面向中小微型企业采购。残疾人福利性单位、监狱和戒毒企业（简称监狱企业）视同小型、微型企业。（</w:t>
      </w:r>
      <w:r>
        <w:rPr>
          <w:rFonts w:hint="eastAsia" w:ascii="宋体" w:hAnsi="宋体"/>
          <w:sz w:val="24"/>
          <w:szCs w:val="24"/>
          <w:lang w:val="en-US" w:eastAsia="zh-CN"/>
        </w:rPr>
        <w:t>投标人</w:t>
      </w:r>
      <w:r>
        <w:rPr>
          <w:rFonts w:hint="eastAsia" w:ascii="宋体" w:hAnsi="宋体"/>
          <w:sz w:val="24"/>
          <w:szCs w:val="24"/>
        </w:rPr>
        <w:t>按要求填写并提供《中小企业声明函》或《残疾人福利性单位声明函》，或提供由省级以上监狱管理局、戒毒管理局(含新疆生产建设兵团)出具的属于监狱企业的证明文件。）</w:t>
      </w:r>
    </w:p>
    <w:p w14:paraId="034B51F5">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（一）</w:t>
      </w:r>
      <w:r>
        <w:rPr>
          <w:rFonts w:hint="eastAsia" w:ascii="Times New Roman" w:hAnsi="Times New Roman" w:eastAsia="宋体"/>
          <w:b/>
          <w:bCs/>
          <w:color w:val="000000" w:themeColor="text1"/>
          <w:highlight w:val="none"/>
          <w:lang w:val="zh-CN"/>
          <w14:textFill>
            <w14:solidFill>
              <w14:schemeClr w14:val="tx1"/>
            </w14:solidFill>
          </w14:textFill>
        </w:rPr>
        <w:t>中小企业声明函</w:t>
      </w:r>
    </w:p>
    <w:p w14:paraId="56734032">
      <w:pPr>
        <w:ind w:left="0" w:firstLine="0"/>
        <w:rPr>
          <w:rFonts w:hint="eastAsia"/>
          <w:color w:val="000000" w:themeColor="text1"/>
          <w:highlight w:val="none"/>
          <w14:textFill>
            <w14:solidFill>
              <w14:schemeClr w14:val="tx1"/>
            </w14:solidFill>
          </w14:textFill>
        </w:rPr>
      </w:pPr>
    </w:p>
    <w:p w14:paraId="644A32EE">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本公司（联合体）郑重声明，根据《政府采购促进中小企业发展管理办法》（财库﹝2020﹞46 号）的规定，本公司（联合体）参加</w:t>
      </w:r>
      <w:r>
        <w:rPr>
          <w:rFonts w:hint="eastAsia"/>
          <w:b/>
          <w:bCs/>
          <w:i/>
          <w:iCs/>
          <w:color w:val="000000" w:themeColor="text1"/>
          <w:highlight w:val="none"/>
          <w:u w:val="single"/>
          <w14:textFill>
            <w14:solidFill>
              <w14:schemeClr w14:val="tx1"/>
            </w14:solidFill>
          </w14:textFill>
        </w:rPr>
        <w:t>（单位名称）</w:t>
      </w:r>
      <w:r>
        <w:rPr>
          <w:rFonts w:hint="eastAsia"/>
          <w:color w:val="000000" w:themeColor="text1"/>
          <w:highlight w:val="none"/>
          <w14:textFill>
            <w14:solidFill>
              <w14:schemeClr w14:val="tx1"/>
            </w14:solidFill>
          </w14:textFill>
        </w:rPr>
        <w:t>的</w:t>
      </w:r>
      <w:r>
        <w:rPr>
          <w:rFonts w:hint="eastAsia"/>
          <w:b/>
          <w:bCs/>
          <w:i/>
          <w:iCs/>
          <w:color w:val="000000" w:themeColor="text1"/>
          <w:highlight w:val="none"/>
          <w:u w:val="single"/>
          <w14:textFill>
            <w14:solidFill>
              <w14:schemeClr w14:val="tx1"/>
            </w14:solidFill>
          </w14:textFill>
        </w:rPr>
        <w:t>（项目名称）</w:t>
      </w:r>
      <w:r>
        <w:rPr>
          <w:rFonts w:hint="eastAsia"/>
          <w:color w:val="000000" w:themeColor="text1"/>
          <w:highlight w:val="none"/>
          <w14:textFill>
            <w14:solidFill>
              <w14:schemeClr w14:val="tx1"/>
            </w14:solidFill>
          </w14:textFill>
        </w:rPr>
        <w:t>采购活动，工程的施工单位全部为符合政策要求的中小企业（或者：服务全部由符合政策要求的中小企业承接）</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相关企业（含联合体中的中小企业、签订分包意向协议的中小企业）的具体情况如下：</w:t>
      </w:r>
    </w:p>
    <w:p w14:paraId="0544F60B">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1.</w:t>
      </w:r>
      <w:r>
        <w:rPr>
          <w:rFonts w:hint="eastAsia"/>
          <w:i/>
          <w:iCs/>
          <w:color w:val="000000" w:themeColor="text1"/>
          <w:highlight w:val="none"/>
          <w:u w:val="single"/>
          <w14:textFill>
            <w14:solidFill>
              <w14:schemeClr w14:val="tx1"/>
            </w14:solidFill>
          </w14:textFill>
        </w:rPr>
        <w:t>（标的名称）</w:t>
      </w:r>
      <w:r>
        <w:rPr>
          <w:rFonts w:hint="eastAsia"/>
          <w:color w:val="000000" w:themeColor="text1"/>
          <w:highlight w:val="none"/>
          <w14:textFill>
            <w14:solidFill>
              <w14:schemeClr w14:val="tx1"/>
            </w14:solidFill>
          </w14:textFill>
        </w:rPr>
        <w:t>，属于</w:t>
      </w:r>
      <w:r>
        <w:rPr>
          <w:rFonts w:hint="eastAsia"/>
          <w:i/>
          <w:iCs/>
          <w:color w:val="000000" w:themeColor="text1"/>
          <w:highlight w:val="none"/>
          <w:u w:val="single"/>
          <w:lang w:val="en-US" w:eastAsia="zh-CN"/>
          <w14:textFill>
            <w14:solidFill>
              <w14:schemeClr w14:val="tx1"/>
            </w14:solidFill>
          </w14:textFill>
        </w:rPr>
        <w:t>建筑业</w:t>
      </w:r>
      <w:r>
        <w:rPr>
          <w:rFonts w:hint="eastAsia"/>
          <w:color w:val="000000" w:themeColor="text1"/>
          <w:highlight w:val="none"/>
          <w14:textFill>
            <w14:solidFill>
              <w14:schemeClr w14:val="tx1"/>
            </w14:solidFill>
          </w14:textFill>
        </w:rPr>
        <w:t>行业；承建（承接）为</w:t>
      </w:r>
      <w:r>
        <w:rPr>
          <w:rFonts w:hint="eastAsia"/>
          <w:i/>
          <w:iCs/>
          <w:color w:val="000000" w:themeColor="text1"/>
          <w:highlight w:val="none"/>
          <w:u w:val="single"/>
          <w14:textFill>
            <w14:solidFill>
              <w14:schemeClr w14:val="tx1"/>
            </w14:solidFill>
          </w14:textFill>
        </w:rPr>
        <w:t>（企业名称）</w:t>
      </w:r>
      <w:r>
        <w:rPr>
          <w:rFonts w:hint="eastAsia"/>
          <w:color w:val="000000" w:themeColor="text1"/>
          <w:highlight w:val="none"/>
          <w14:textFill>
            <w14:solidFill>
              <w14:schemeClr w14:val="tx1"/>
            </w14:solidFill>
          </w14:textFill>
        </w:rPr>
        <w:t>，从业人员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万元，属于</w:t>
      </w:r>
      <w:r>
        <w:rPr>
          <w:rFonts w:hint="eastAsia"/>
          <w:i/>
          <w:iCs/>
          <w:color w:val="000000" w:themeColor="text1"/>
          <w:highlight w:val="none"/>
          <w:u w:val="single"/>
          <w14:textFill>
            <w14:solidFill>
              <w14:schemeClr w14:val="tx1"/>
            </w14:solidFill>
          </w14:textFill>
        </w:rPr>
        <w:t>（中型企业、小型企业、微型企业）</w:t>
      </w:r>
      <w:r>
        <w:rPr>
          <w:rFonts w:hint="eastAsia"/>
          <w:color w:val="000000" w:themeColor="text1"/>
          <w:highlight w:val="none"/>
          <w14:textFill>
            <w14:solidFill>
              <w14:schemeClr w14:val="tx1"/>
            </w14:solidFill>
          </w14:textFill>
        </w:rPr>
        <w:t>；</w:t>
      </w:r>
    </w:p>
    <w:p w14:paraId="2A370469">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2.</w:t>
      </w:r>
      <w:r>
        <w:rPr>
          <w:rFonts w:hint="eastAsia"/>
          <w:i/>
          <w:iCs/>
          <w:color w:val="000000" w:themeColor="text1"/>
          <w:highlight w:val="none"/>
          <w:u w:val="single"/>
          <w14:textFill>
            <w14:solidFill>
              <w14:schemeClr w14:val="tx1"/>
            </w14:solidFill>
          </w14:textFill>
        </w:rPr>
        <w:t>（标的名称）</w:t>
      </w:r>
      <w:r>
        <w:rPr>
          <w:rFonts w:hint="eastAsia"/>
          <w:color w:val="000000" w:themeColor="text1"/>
          <w:highlight w:val="none"/>
          <w14:textFill>
            <w14:solidFill>
              <w14:schemeClr w14:val="tx1"/>
            </w14:solidFill>
          </w14:textFill>
        </w:rPr>
        <w:t>，属于</w:t>
      </w:r>
      <w:r>
        <w:rPr>
          <w:rFonts w:hint="eastAsia"/>
          <w:i/>
          <w:iCs/>
          <w:color w:val="000000" w:themeColor="text1"/>
          <w:highlight w:val="none"/>
          <w:u w:val="single"/>
          <w:lang w:val="en-US" w:eastAsia="zh-CN"/>
          <w14:textFill>
            <w14:solidFill>
              <w14:schemeClr w14:val="tx1"/>
            </w14:solidFill>
          </w14:textFill>
        </w:rPr>
        <w:t>建筑业</w:t>
      </w:r>
      <w:r>
        <w:rPr>
          <w:rFonts w:hint="eastAsia"/>
          <w:color w:val="000000" w:themeColor="text1"/>
          <w:highlight w:val="none"/>
          <w14:textFill>
            <w14:solidFill>
              <w14:schemeClr w14:val="tx1"/>
            </w14:solidFill>
          </w14:textFill>
        </w:rPr>
        <w:t>行业；承建（承接）为</w:t>
      </w:r>
      <w:r>
        <w:rPr>
          <w:rFonts w:hint="eastAsia"/>
          <w:i/>
          <w:iCs/>
          <w:color w:val="000000" w:themeColor="text1"/>
          <w:highlight w:val="none"/>
          <w:u w:val="single"/>
          <w14:textFill>
            <w14:solidFill>
              <w14:schemeClr w14:val="tx1"/>
            </w14:solidFill>
          </w14:textFill>
        </w:rPr>
        <w:t>（企业名称）</w:t>
      </w:r>
      <w:r>
        <w:rPr>
          <w:rFonts w:hint="eastAsia"/>
          <w:color w:val="000000" w:themeColor="text1"/>
          <w:highlight w:val="none"/>
          <w14:textFill>
            <w14:solidFill>
              <w14:schemeClr w14:val="tx1"/>
            </w14:solidFill>
          </w14:textFill>
        </w:rPr>
        <w:t>，从业人员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万元，属于</w:t>
      </w:r>
      <w:r>
        <w:rPr>
          <w:rFonts w:hint="eastAsia"/>
          <w:i/>
          <w:iCs/>
          <w:color w:val="000000" w:themeColor="text1"/>
          <w:highlight w:val="none"/>
          <w:u w:val="single"/>
          <w14:textFill>
            <w14:solidFill>
              <w14:schemeClr w14:val="tx1"/>
            </w14:solidFill>
          </w14:textFill>
        </w:rPr>
        <w:t>（中型企业、小型企业、微型企业）</w:t>
      </w:r>
      <w:r>
        <w:rPr>
          <w:rFonts w:hint="eastAsia"/>
          <w:color w:val="000000" w:themeColor="text1"/>
          <w:highlight w:val="none"/>
          <w14:textFill>
            <w14:solidFill>
              <w14:schemeClr w14:val="tx1"/>
            </w14:solidFill>
          </w14:textFill>
        </w:rPr>
        <w:t>；</w:t>
      </w:r>
    </w:p>
    <w:p w14:paraId="6BD09CC8">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p w14:paraId="5B9BA746">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以上企业，不属于大企业的分支机构，不存在控股股东为大企业的情形，也不存在与大企业的负责人为同一人的情形。</w:t>
      </w:r>
    </w:p>
    <w:p w14:paraId="2A057CDC">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本企业</w:t>
      </w:r>
      <w:r>
        <w:rPr>
          <w:rFonts w:hint="eastAsia"/>
          <w:color w:val="000000" w:themeColor="text1"/>
          <w:highlight w:val="none"/>
          <w14:textFill>
            <w14:solidFill>
              <w14:schemeClr w14:val="tx1"/>
            </w14:solidFill>
          </w14:textFill>
        </w:rPr>
        <w:t>对上述声明内容的真实性负责。如有虚假，将依法承担相应责任。</w:t>
      </w:r>
    </w:p>
    <w:p w14:paraId="7D95BAAA">
      <w:pPr>
        <w:rPr>
          <w:rFonts w:hint="eastAsia"/>
          <w:color w:val="000000" w:themeColor="text1"/>
          <w:highlight w:val="none"/>
          <w14:textFill>
            <w14:solidFill>
              <w14:schemeClr w14:val="tx1"/>
            </w14:solidFill>
          </w14:textFill>
        </w:rPr>
      </w:pPr>
    </w:p>
    <w:p w14:paraId="7EEA166E">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企业</w:t>
      </w:r>
      <w:r>
        <w:rPr>
          <w:rFonts w:hint="eastAsia"/>
          <w:color w:val="000000" w:themeColor="text1"/>
          <w:highlight w:val="none"/>
          <w14:textFill>
            <w14:solidFill>
              <w14:schemeClr w14:val="tx1"/>
            </w14:solidFill>
          </w14:textFill>
        </w:rPr>
        <w:t>名称（盖章）：</w:t>
      </w:r>
      <w:r>
        <w:rPr>
          <w:rFonts w:hint="eastAsia"/>
          <w:color w:val="000000" w:themeColor="text1"/>
          <w:highlight w:val="none"/>
          <w:lang w:val="en-US" w:eastAsia="zh-CN"/>
          <w14:textFill>
            <w14:solidFill>
              <w14:schemeClr w14:val="tx1"/>
            </w14:solidFill>
          </w14:textFill>
        </w:rPr>
        <w:t xml:space="preserve">          </w:t>
      </w:r>
    </w:p>
    <w:p w14:paraId="511366E2">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日期：</w:t>
      </w:r>
      <w:r>
        <w:rPr>
          <w:rFonts w:hint="eastAsia"/>
          <w:color w:val="000000" w:themeColor="text1"/>
          <w:highlight w:val="none"/>
          <w:lang w:val="en-US" w:eastAsia="zh-CN"/>
          <w14:textFill>
            <w14:solidFill>
              <w14:schemeClr w14:val="tx1"/>
            </w14:solidFill>
          </w14:textFill>
        </w:rPr>
        <w:t xml:space="preserve">                      </w:t>
      </w:r>
    </w:p>
    <w:p w14:paraId="3222A8B8">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p>
    <w:p w14:paraId="6424AB03">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注2：从业人员、营业收入、资产总额填报上一年度</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2025年度</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数据，无上一年度数据的新成立企业可不填报。</w:t>
      </w:r>
    </w:p>
    <w:p w14:paraId="3A590637">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注3：投标人如不提供此声明函，</w:t>
      </w:r>
      <w:r>
        <w:rPr>
          <w:rFonts w:hint="eastAsia"/>
          <w:color w:val="000000" w:themeColor="text1"/>
          <w:highlight w:val="none"/>
          <w:lang w:val="en-US" w:eastAsia="zh-CN"/>
          <w14:textFill>
            <w14:solidFill>
              <w14:schemeClr w14:val="tx1"/>
            </w14:solidFill>
          </w14:textFill>
        </w:rPr>
        <w:t>不享受中小企业扶持政策</w:t>
      </w:r>
      <w:r>
        <w:rPr>
          <w:rFonts w:hint="eastAsia"/>
          <w:color w:val="000000" w:themeColor="text1"/>
          <w:highlight w:val="none"/>
          <w14:textFill>
            <w14:solidFill>
              <w14:schemeClr w14:val="tx1"/>
            </w14:solidFill>
          </w14:textFill>
        </w:rPr>
        <w:t>。</w:t>
      </w:r>
    </w:p>
    <w:p w14:paraId="6BCBB44B">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p>
    <w:p w14:paraId="089A2F00">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（二）</w:t>
      </w:r>
      <w:r>
        <w:rPr>
          <w:rFonts w:hint="eastAsia"/>
          <w:b/>
          <w:bCs/>
          <w:color w:val="000000" w:themeColor="text1"/>
          <w:highlight w:val="none"/>
          <w:lang w:val="en-US"/>
          <w14:textFill>
            <w14:solidFill>
              <w14:schemeClr w14:val="tx1"/>
            </w14:solidFill>
          </w14:textFill>
        </w:rPr>
        <w:t>残疾人福利性单位声明函</w:t>
      </w:r>
    </w:p>
    <w:p w14:paraId="62A5DBF4">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本单位郑重声明，根据《财政部 民政部 中国残疾人联合会关于促进残疾人就业政府采购政策的通知》（财库</w:t>
      </w:r>
      <w:r>
        <w:rPr>
          <w:rFonts w:hint="eastAsia"/>
          <w:color w:val="000000" w:themeColor="text1"/>
          <w:highlight w:val="none"/>
          <w:lang w:eastAsia="zh-CN"/>
          <w14:textFill>
            <w14:solidFill>
              <w14:schemeClr w14:val="tx1"/>
            </w14:solidFill>
          </w14:textFill>
        </w:rPr>
        <w:t>〔2017〕141号</w:t>
      </w:r>
      <w:r>
        <w:rPr>
          <w:rFonts w:hint="eastAsia"/>
          <w:color w:val="000000" w:themeColor="text1"/>
          <w:highlight w:val="none"/>
          <w14:textFill>
            <w14:solidFill>
              <w14:schemeClr w14:val="tx1"/>
            </w14:solidFill>
          </w14:textFill>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AF9118F">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我公司对上述声明的真实性负责。如有虚假，将依法承担相应责任。</w:t>
      </w:r>
    </w:p>
    <w:p w14:paraId="16CD5A67">
      <w:pPr>
        <w:rPr>
          <w:color w:val="000000" w:themeColor="text1"/>
          <w:highlight w:val="none"/>
          <w14:textFill>
            <w14:solidFill>
              <w14:schemeClr w14:val="tx1"/>
            </w14:solidFill>
          </w14:textFill>
        </w:rPr>
      </w:pPr>
    </w:p>
    <w:p w14:paraId="013D5E3B">
      <w:pPr>
        <w:keepNext w:val="0"/>
        <w:keepLines w:val="0"/>
        <w:pageBreakBefore w:val="0"/>
        <w:widowControl w:val="0"/>
        <w:ind w:firstLine="0"/>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单位名称：（盖章）</w:t>
      </w:r>
    </w:p>
    <w:p w14:paraId="32B66332">
      <w:pPr>
        <w:keepNext w:val="0"/>
        <w:keepLines w:val="0"/>
        <w:pageBreakBefore w:val="0"/>
        <w:widowControl w:val="0"/>
        <w:ind w:firstLine="0"/>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日期：</w:t>
      </w:r>
      <w:r>
        <w:rPr>
          <w:rFonts w:hint="eastAsia"/>
          <w:color w:val="000000" w:themeColor="text1"/>
          <w:highlight w:val="none"/>
          <w:lang w:val="en-US" w:eastAsia="zh-CN"/>
          <w14:textFill>
            <w14:solidFill>
              <w14:schemeClr w14:val="tx1"/>
            </w14:solidFill>
          </w14:textFill>
        </w:rPr>
        <w:t xml:space="preserve">            </w:t>
      </w:r>
    </w:p>
    <w:p w14:paraId="5AED1CA7">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注：非残疾人福利性单位无须提供。</w:t>
      </w:r>
    </w:p>
    <w:p w14:paraId="2F7075BC">
      <w:pPr>
        <w:rPr>
          <w:rFonts w:hint="eastAsia"/>
          <w:color w:val="000000" w:themeColor="text1"/>
          <w:highlight w:val="none"/>
          <w14:textFill>
            <w14:solidFill>
              <w14:schemeClr w14:val="tx1"/>
            </w14:solidFill>
          </w14:textFill>
        </w:rPr>
      </w:pPr>
    </w:p>
    <w:p w14:paraId="2A65F2EA">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（三）属于监狱企业的证明文件</w:t>
      </w:r>
    </w:p>
    <w:p w14:paraId="0FA88291">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提供由省级以上监狱管理局、戒毒管理局（含新疆生产建设兵团）出具的属于监狱企业的证明文件。</w:t>
      </w:r>
    </w:p>
    <w:p w14:paraId="6EB9C017">
      <w:pPr>
        <w:rPr>
          <w:rFonts w:hint="eastAsia"/>
          <w:color w:val="000000" w:themeColor="text1"/>
          <w:highlight w:val="none"/>
          <w:lang w:val="en-US" w:eastAsia="zh-CN"/>
          <w14:textFill>
            <w14:solidFill>
              <w14:schemeClr w14:val="tx1"/>
            </w14:solidFill>
          </w14:textFill>
        </w:rPr>
      </w:pPr>
    </w:p>
    <w:p w14:paraId="01DB967D">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注：非监狱企业无须提供。</w:t>
      </w:r>
    </w:p>
    <w:p w14:paraId="18D6CB2C">
      <w:pPr>
        <w:rPr>
          <w:rFonts w:hint="eastAsia"/>
          <w:color w:val="000000" w:themeColor="text1"/>
          <w:highlight w:val="none"/>
          <w:lang w:val="en-US" w:eastAsia="zh-CN"/>
          <w14:textFill>
            <w14:solidFill>
              <w14:schemeClr w14:val="tx1"/>
            </w14:solidFill>
          </w14:textFill>
        </w:rPr>
      </w:pPr>
    </w:p>
    <w:p w14:paraId="2ACFB2F3">
      <w:pPr>
        <w:rPr>
          <w:rFonts w:hint="eastAsia" w:ascii="Times New Roman" w:hAnsi="Times New Roman" w:eastAsia="宋体"/>
          <w:color w:val="000000" w:themeColor="text1"/>
          <w:highlight w:val="none"/>
          <w:lang w:val="en-US" w:eastAsia="zh-CN"/>
          <w14:textFill>
            <w14:solidFill>
              <w14:schemeClr w14:val="tx1"/>
            </w14:solidFill>
          </w14:textFill>
        </w:rPr>
      </w:pPr>
    </w:p>
    <w:p w14:paraId="799CA642">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7.</w:t>
      </w:r>
      <w:r>
        <w:rPr>
          <w:rFonts w:hint="default" w:ascii="Times New Roman" w:hAnsi="Times New Roman" w:eastAsia="宋体"/>
          <w:color w:val="000000" w:themeColor="text1"/>
          <w:highlight w:val="none"/>
          <w:lang w:val="en-US" w:eastAsia="zh-CN"/>
          <w14:textFill>
            <w14:solidFill>
              <w14:schemeClr w14:val="tx1"/>
            </w14:solidFill>
          </w14:textFill>
        </w:rPr>
        <w:t>本项目的特定资格要求：</w:t>
      </w:r>
    </w:p>
    <w:p w14:paraId="64567E34">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投标人</w:t>
      </w:r>
      <w:r>
        <w:rPr>
          <w:rFonts w:hint="eastAsia"/>
          <w:color w:val="000000" w:themeColor="text1"/>
          <w:highlight w:val="none"/>
          <w:lang w:eastAsia="zh-CN"/>
          <w14:textFill>
            <w14:solidFill>
              <w14:schemeClr w14:val="tx1"/>
            </w14:solidFill>
          </w14:textFill>
        </w:rPr>
        <w:t>具有建筑装修装饰工程专业承包二级及以上资质并取得安全生产许可证。（提供有效的资质证书及安全生产许可证</w:t>
      </w:r>
      <w:r>
        <w:rPr>
          <w:rFonts w:hint="eastAsia"/>
          <w:color w:val="000000" w:themeColor="text1"/>
          <w:highlight w:val="none"/>
          <w:lang w:val="en-US" w:eastAsia="zh-CN"/>
          <w14:textFill>
            <w14:solidFill>
              <w14:schemeClr w14:val="tx1"/>
            </w14:solidFill>
          </w14:textFill>
        </w:rPr>
        <w:t>扫描件</w:t>
      </w:r>
      <w:r>
        <w:rPr>
          <w:rFonts w:hint="eastAsia"/>
          <w:color w:val="000000" w:themeColor="text1"/>
          <w:highlight w:val="none"/>
          <w:lang w:eastAsia="zh-CN"/>
          <w14:textFill>
            <w14:solidFill>
              <w14:schemeClr w14:val="tx1"/>
            </w14:solidFill>
          </w14:textFill>
        </w:rPr>
        <w:t>加盖公章）</w:t>
      </w:r>
    </w:p>
    <w:p w14:paraId="4ADB281D">
      <w:pPr>
        <w:rPr>
          <w:rFonts w:hint="default" w:ascii="Times New Roman" w:hAnsi="Times New Roman" w:eastAsia="宋体"/>
          <w:color w:val="000000" w:themeColor="text1"/>
          <w:highlight w:val="none"/>
          <w:lang w:val="en-US" w:eastAsia="zh-CN"/>
          <w14:textFill>
            <w14:solidFill>
              <w14:schemeClr w14:val="tx1"/>
            </w14:solidFill>
          </w14:textFill>
        </w:rPr>
      </w:pPr>
    </w:p>
    <w:p w14:paraId="424B95A2">
      <w:pPr>
        <w:rPr>
          <w:rFonts w:hint="default" w:ascii="Times New Roman" w:hAnsi="Times New Roman" w:eastAsia="宋体"/>
          <w:color w:val="000000" w:themeColor="text1"/>
          <w:highlight w:val="none"/>
          <w:lang w:val="en-US" w:eastAsia="zh-CN"/>
          <w14:textFill>
            <w14:solidFill>
              <w14:schemeClr w14:val="tx1"/>
            </w14:solidFill>
          </w14:textFill>
        </w:rPr>
      </w:pPr>
    </w:p>
    <w:p w14:paraId="472D5C69">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项目负责人</w:t>
      </w:r>
      <w:r>
        <w:rPr>
          <w:rFonts w:hint="default" w:ascii="Times New Roman" w:hAnsi="Times New Roman" w:eastAsia="宋体"/>
          <w:color w:val="000000" w:themeColor="text1"/>
          <w:highlight w:val="none"/>
          <w:lang w:val="en-US" w:eastAsia="zh-CN"/>
          <w14:textFill>
            <w14:solidFill>
              <w14:schemeClr w14:val="tx1"/>
            </w14:solidFill>
          </w14:textFill>
        </w:rPr>
        <w:t>具有二级及以上注册建造师（建筑工程专业）并具有安全生产考核合格证书（B类）。（提供有效证书扫描件加盖公章及社保机构出具的投标截止时间前六个月内任意一个月投标人为其缴纳的社保缴费证明【加盖社保公章或具有可验证的二维码（或验证码）】）</w:t>
      </w:r>
    </w:p>
    <w:p w14:paraId="491BD97D">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br w:type="page" w:clear="all"/>
      </w:r>
    </w:p>
    <w:p w14:paraId="36A4FE43">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t>（3）供应商满足以下条件（提供承诺书加盖公章）：</w:t>
      </w:r>
    </w:p>
    <w:p w14:paraId="5F77FEDE">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t>a.未处于被责令停业、投标资格被取消或财产被接管、冻结和破产状态的企业；</w:t>
      </w:r>
    </w:p>
    <w:p w14:paraId="36EA2FEF">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t>b.企业没有因骗取中标、严重违约或者违规用工、拖欠工人工资以及发生重大工程质量、安全生产事故等问题，被有关部门暂停投标资格并在暂停期内的。</w:t>
      </w:r>
    </w:p>
    <w:p w14:paraId="7593AD4A">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t>c.项目负责人参加该项目投标时无在建工程。</w:t>
      </w:r>
    </w:p>
    <w:p w14:paraId="541BF804">
      <w:pPr>
        <w:rPr>
          <w:rFonts w:hint="default" w:ascii="Times New Roman" w:hAnsi="Times New Roman" w:eastAsia="宋体"/>
          <w:color w:val="000000" w:themeColor="text1"/>
          <w:highlight w:val="none"/>
          <w:lang w:val="en-US" w:eastAsia="zh-CN"/>
          <w14:textFill>
            <w14:solidFill>
              <w14:schemeClr w14:val="tx1"/>
            </w14:solidFill>
          </w14:textFill>
        </w:rPr>
      </w:pPr>
    </w:p>
    <w:p w14:paraId="1D9ACCA1">
      <w:pPr>
        <w:keepNext w:val="0"/>
        <w:keepLines w:val="0"/>
        <w:pageBreakBefore w:val="0"/>
        <w:widowControl w:val="0"/>
        <w:ind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承诺书</w:t>
      </w:r>
    </w:p>
    <w:p w14:paraId="1025E4A0">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致：</w:t>
      </w:r>
      <w:r>
        <w:rPr>
          <w:rFonts w:hint="eastAsia"/>
          <w:color w:val="000000" w:themeColor="text1"/>
          <w:highlight w:val="none"/>
          <w:lang w:val="en-US" w:eastAsia="zh-CN"/>
          <w14:textFill>
            <w14:solidFill>
              <w14:schemeClr w14:val="tx1"/>
            </w14:solidFill>
          </w14:textFill>
        </w:rPr>
        <w:t>南京师范大学</w:t>
      </w:r>
    </w:p>
    <w:p w14:paraId="04BFB72F">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我公司</w:t>
      </w:r>
      <w:r>
        <w:rPr>
          <w:rFonts w:hint="eastAsia"/>
          <w:color w:val="000000" w:themeColor="text1"/>
          <w:highlight w:val="none"/>
          <w:lang w:val="en-US" w:eastAsia="zh-CN"/>
          <w14:textFill>
            <w14:solidFill>
              <w14:schemeClr w14:val="tx1"/>
            </w14:solidFill>
          </w14:textFill>
        </w:rPr>
        <w:t>（投标人名称）</w:t>
      </w:r>
      <w:r>
        <w:rPr>
          <w:rFonts w:hint="default"/>
          <w:color w:val="000000" w:themeColor="text1"/>
          <w:highlight w:val="none"/>
          <w:lang w:val="en-US" w:eastAsia="zh-CN"/>
          <w14:textFill>
            <w14:solidFill>
              <w14:schemeClr w14:val="tx1"/>
            </w14:solidFill>
          </w14:textFill>
        </w:rPr>
        <w:t>郑重承诺，我公司参加贵方（项目名称）（项目编号）采购：</w:t>
      </w:r>
    </w:p>
    <w:p w14:paraId="05859CC7">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1、</w:t>
      </w:r>
      <w:r>
        <w:rPr>
          <w:rFonts w:hint="default" w:ascii="Times New Roman" w:hAnsi="Times New Roman" w:eastAsia="宋体"/>
          <w:color w:val="000000" w:themeColor="text1"/>
          <w:highlight w:val="none"/>
          <w:lang w:val="en-US" w:eastAsia="zh-CN"/>
          <w14:textFill>
            <w14:solidFill>
              <w14:schemeClr w14:val="tx1"/>
            </w14:solidFill>
          </w14:textFill>
        </w:rPr>
        <w:t>未处于被责令停业、投标资格被取消或财产被接管、冻结和破产状态的企业</w:t>
      </w:r>
      <w:r>
        <w:rPr>
          <w:rFonts w:hint="eastAsia" w:eastAsia="宋体"/>
          <w:color w:val="000000" w:themeColor="text1"/>
          <w:highlight w:val="none"/>
          <w:lang w:val="en-US" w:eastAsia="zh-CN"/>
          <w14:textFill>
            <w14:solidFill>
              <w14:schemeClr w14:val="tx1"/>
            </w14:solidFill>
          </w14:textFill>
        </w:rPr>
        <w:t>；</w:t>
      </w:r>
    </w:p>
    <w:p w14:paraId="60B39C0C">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2、</w:t>
      </w:r>
      <w:r>
        <w:rPr>
          <w:rFonts w:hint="default" w:ascii="Times New Roman" w:hAnsi="Times New Roman" w:eastAsia="宋体"/>
          <w:color w:val="000000" w:themeColor="text1"/>
          <w:highlight w:val="none"/>
          <w:lang w:val="en-US" w:eastAsia="zh-CN"/>
          <w14:textFill>
            <w14:solidFill>
              <w14:schemeClr w14:val="tx1"/>
            </w14:solidFill>
          </w14:textFill>
        </w:rPr>
        <w:t>企业没有因骗取中标、严重违约或者违规用工、拖欠工人工资以及发生重大工程质量、安全生产事故等问题，被有关部门暂停投标资格并在暂停期内的。</w:t>
      </w:r>
    </w:p>
    <w:p w14:paraId="580444FD">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3、</w:t>
      </w:r>
      <w:r>
        <w:rPr>
          <w:rFonts w:hint="eastAsia" w:eastAsia="宋体"/>
          <w:color w:val="000000" w:themeColor="text1"/>
          <w:highlight w:val="none"/>
          <w:lang w:val="en-US" w:eastAsia="zh-CN"/>
          <w14:textFill>
            <w14:solidFill>
              <w14:schemeClr w14:val="tx1"/>
            </w14:solidFill>
          </w14:textFill>
        </w:rPr>
        <w:t>项目负责人</w:t>
      </w:r>
      <w:r>
        <w:rPr>
          <w:rFonts w:hint="default" w:ascii="Times New Roman" w:hAnsi="Times New Roman" w:eastAsia="宋体"/>
          <w:color w:val="000000" w:themeColor="text1"/>
          <w:highlight w:val="none"/>
          <w:lang w:val="en-US" w:eastAsia="zh-CN"/>
          <w14:textFill>
            <w14:solidFill>
              <w14:schemeClr w14:val="tx1"/>
            </w14:solidFill>
          </w14:textFill>
        </w:rPr>
        <w:t>参加该项目投标时无在建工程。</w:t>
      </w:r>
    </w:p>
    <w:p w14:paraId="3FE53C0A">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特此承诺！</w:t>
      </w:r>
    </w:p>
    <w:p w14:paraId="317F8C30">
      <w:pPr>
        <w:rPr>
          <w:rFonts w:hint="eastAsia"/>
          <w:color w:val="000000" w:themeColor="text1"/>
          <w:highlight w:val="none"/>
          <w:lang w:val="en-US" w:eastAsia="zh-CN"/>
          <w14:textFill>
            <w14:solidFill>
              <w14:schemeClr w14:val="tx1"/>
            </w14:solidFill>
          </w14:textFill>
        </w:rPr>
      </w:pPr>
    </w:p>
    <w:p w14:paraId="35A81E8A">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投标人</w:t>
      </w:r>
      <w:r>
        <w:rPr>
          <w:rFonts w:hint="default"/>
          <w:color w:val="000000" w:themeColor="text1"/>
          <w:highlight w:val="none"/>
          <w:lang w:val="en-US" w:eastAsia="zh-CN"/>
          <w14:textFill>
            <w14:solidFill>
              <w14:schemeClr w14:val="tx1"/>
            </w14:solidFill>
          </w14:textFill>
        </w:rPr>
        <w:t>名称：（盖章）</w:t>
      </w:r>
    </w:p>
    <w:p w14:paraId="4D591532">
      <w:pPr>
        <w:rPr>
          <w:rFonts w:hint="default"/>
          <w:color w:val="000000" w:themeColor="text1"/>
          <w:highlight w:val="none"/>
          <w:lang w:val="en-US" w:eastAsia="zh-CN"/>
          <w14:textFill>
            <w14:solidFill>
              <w14:schemeClr w14:val="tx1"/>
            </w14:solidFill>
          </w14:textFill>
        </w:rPr>
      </w:pPr>
    </w:p>
    <w:p w14:paraId="0B29BFDE">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日期：</w:t>
      </w:r>
      <w:r>
        <w:rPr>
          <w:rFonts w:hint="eastAsia"/>
          <w:color w:val="000000" w:themeColor="text1"/>
          <w:highlight w:val="none"/>
          <w:lang w:val="en-US" w:eastAsia="zh-CN"/>
          <w14:textFill>
            <w14:solidFill>
              <w14:schemeClr w14:val="tx1"/>
            </w14:solidFill>
          </w14:textFill>
        </w:rPr>
        <w:t xml:space="preserve">    年   月   日</w:t>
      </w:r>
    </w:p>
    <w:p w14:paraId="090BAF55">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br w:type="page" w:clear="all"/>
      </w:r>
    </w:p>
    <w:p w14:paraId="4DCA8F7D">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t>（4）根据《关于开展建筑业企业资质动态监管工作的公告》（2018）第6号）、《关于建筑业企业资质动态监管不合格企业参加招投标相关事宜的复函》（苏建函建管（2019）233号），《关于开展南京市建筑业企业资质动态核查的通知》（宁建建监字【2020】388号）相关文件要求，投标人应自觉确保本单位资质状态符合省、市相关文件规定，在本工程的资格审查阶段，将由评标委员会对各投标人的资质动态监管情况进行核查，若投标人用于投标的资质核查结果为不达标，仍在公示期的，按照资格审查不合格处理。（企业动态资质查询信息以江苏省建筑市场监管与诚信信息一体化平台发布的信息为准）</w:t>
      </w:r>
    </w:p>
    <w:p w14:paraId="5F279129">
      <w:pPr>
        <w:ind w:left="0" w:firstLine="0"/>
        <w:rPr>
          <w:rFonts w:hint="default"/>
          <w:b/>
          <w:bCs/>
          <w:color w:val="000000" w:themeColor="text1"/>
          <w:highlight w:val="none"/>
          <w:lang w:val="en-US" w:eastAsia="zh-CN"/>
          <w14:textFill>
            <w14:solidFill>
              <w14:schemeClr w14:val="tx1"/>
            </w14:solidFill>
          </w14:textFill>
        </w:rPr>
      </w:pPr>
      <w:r>
        <w:rPr>
          <w:rFonts w:hint="default"/>
          <w:b/>
          <w:bCs/>
          <w:color w:val="000000" w:themeColor="text1"/>
          <w:highlight w:val="none"/>
          <w:lang w:val="en-US" w:eastAsia="zh-CN"/>
          <w14:textFill>
            <w14:solidFill>
              <w14:schemeClr w14:val="tx1"/>
            </w14:solidFill>
          </w14:textFill>
        </w:rPr>
        <w:br w:type="page" w:clear="all"/>
      </w:r>
    </w:p>
    <w:p w14:paraId="3720A3C8">
      <w:pPr>
        <w:pStyle w:val="4"/>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目录六、技术</w:t>
      </w:r>
      <w:r>
        <w:rPr>
          <w:rFonts w:hint="eastAsia"/>
          <w:color w:val="000000" w:themeColor="text1"/>
          <w:highlight w:val="none"/>
          <w:lang w:val="en-US" w:eastAsia="zh-CN"/>
          <w14:textFill>
            <w14:solidFill>
              <w14:schemeClr w14:val="tx1"/>
            </w14:solidFill>
          </w14:textFill>
        </w:rPr>
        <w:t>条款偏离</w:t>
      </w:r>
      <w:r>
        <w:rPr>
          <w:rFonts w:hint="eastAsia"/>
          <w:color w:val="000000" w:themeColor="text1"/>
          <w:highlight w:val="none"/>
          <w:lang w:val="zh-CN"/>
          <w14:textFill>
            <w14:solidFill>
              <w14:schemeClr w14:val="tx1"/>
            </w14:solidFill>
          </w14:textFill>
        </w:rPr>
        <w:t>表格式</w:t>
      </w:r>
    </w:p>
    <w:p w14:paraId="61BCD511">
      <w:pPr>
        <w:ind w:left="0"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技术条款偏离表</w:t>
      </w:r>
    </w:p>
    <w:tbl>
      <w:tblPr>
        <w:tblStyle w:val="33"/>
        <w:tblW w:w="4999" w:type="pct"/>
        <w:jc w:val="center"/>
        <w:tblLayout w:type="autofit"/>
        <w:tblCellMar>
          <w:top w:w="0" w:type="dxa"/>
          <w:left w:w="0" w:type="dxa"/>
          <w:bottom w:w="0" w:type="dxa"/>
          <w:right w:w="0" w:type="dxa"/>
        </w:tblCellMar>
      </w:tblPr>
      <w:tblGrid>
        <w:gridCol w:w="842"/>
        <w:gridCol w:w="3337"/>
        <w:gridCol w:w="3457"/>
        <w:gridCol w:w="1444"/>
      </w:tblGrid>
      <w:tr w14:paraId="5D4F15F2">
        <w:tblPrEx>
          <w:tblCellMar>
            <w:top w:w="0" w:type="dxa"/>
            <w:left w:w="0" w:type="dxa"/>
            <w:bottom w:w="0" w:type="dxa"/>
            <w:right w:w="0" w:type="dxa"/>
          </w:tblCellMar>
        </w:tblPrEx>
        <w:trPr>
          <w:trHeight w:val="227" w:hRule="atLeast"/>
          <w:jc w:val="center"/>
        </w:trPr>
        <w:tc>
          <w:tcPr>
            <w:tcW w:w="2301" w:type="pct"/>
            <w:gridSpan w:val="2"/>
            <w:tcBorders>
              <w:top w:val="single" w:color="auto" w:sz="4" w:space="0"/>
              <w:left w:val="single" w:color="auto" w:sz="4" w:space="0"/>
              <w:bottom w:val="single" w:color="auto" w:sz="4" w:space="0"/>
              <w:right w:val="single" w:color="auto" w:sz="4" w:space="0"/>
            </w:tcBorders>
            <w:noWrap w:val="0"/>
            <w:vAlign w:val="center"/>
          </w:tcPr>
          <w:p w14:paraId="550A1F33">
            <w:pPr>
              <w:keepNext w:val="0"/>
              <w:keepLines w:val="0"/>
              <w:pageBreakBefore w:val="0"/>
              <w:widowControl w:val="0"/>
              <w:spacing w:line="240" w:lineRule="auto"/>
              <w:ind w:firstLine="0"/>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项目名称：</w:t>
            </w:r>
          </w:p>
        </w:tc>
        <w:tc>
          <w:tcPr>
            <w:tcW w:w="2698" w:type="pct"/>
            <w:gridSpan w:val="2"/>
            <w:tcBorders>
              <w:top w:val="single" w:color="auto" w:sz="4" w:space="0"/>
              <w:left w:val="single" w:color="auto" w:sz="4" w:space="0"/>
              <w:bottom w:val="single" w:color="auto" w:sz="4" w:space="0"/>
              <w:right w:val="single" w:color="auto" w:sz="4" w:space="0"/>
            </w:tcBorders>
            <w:noWrap w:val="0"/>
            <w:vAlign w:val="center"/>
          </w:tcPr>
          <w:p w14:paraId="76D2611F">
            <w:pPr>
              <w:keepNext w:val="0"/>
              <w:keepLines w:val="0"/>
              <w:pageBreakBefore w:val="0"/>
              <w:widowControl w:val="0"/>
              <w:spacing w:line="240" w:lineRule="auto"/>
              <w:ind w:firstLine="0"/>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项目编号：</w:t>
            </w:r>
          </w:p>
        </w:tc>
      </w:tr>
      <w:tr w14:paraId="6B2E9897">
        <w:tblPrEx>
          <w:tblCellMar>
            <w:top w:w="0" w:type="dxa"/>
            <w:left w:w="0" w:type="dxa"/>
            <w:bottom w:w="0" w:type="dxa"/>
            <w:right w:w="0" w:type="dxa"/>
          </w:tblCellMar>
        </w:tblPrEx>
        <w:trPr>
          <w:trHeight w:val="227" w:hRule="atLeast"/>
          <w:jc w:val="center"/>
        </w:trPr>
        <w:tc>
          <w:tcPr>
            <w:tcW w:w="464" w:type="pct"/>
            <w:tcBorders>
              <w:top w:val="single" w:color="auto" w:sz="4" w:space="0"/>
              <w:left w:val="single" w:color="auto" w:sz="4" w:space="0"/>
              <w:bottom w:val="single" w:color="auto" w:sz="4" w:space="0"/>
              <w:right w:val="single" w:color="auto" w:sz="4" w:space="0"/>
            </w:tcBorders>
            <w:noWrap w:val="0"/>
            <w:vAlign w:val="center"/>
          </w:tcPr>
          <w:p w14:paraId="4A58F3A4">
            <w:pPr>
              <w:keepNext w:val="0"/>
              <w:keepLines w:val="0"/>
              <w:pageBreakBefore w:val="0"/>
              <w:widowControl w:val="0"/>
              <w:spacing w:line="240" w:lineRule="auto"/>
              <w:ind w:firstLine="0"/>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序号</w:t>
            </w:r>
          </w:p>
        </w:tc>
        <w:tc>
          <w:tcPr>
            <w:tcW w:w="1836" w:type="pct"/>
            <w:tcBorders>
              <w:top w:val="single" w:color="auto" w:sz="4" w:space="0"/>
              <w:left w:val="single" w:color="auto" w:sz="4" w:space="0"/>
              <w:bottom w:val="single" w:color="auto" w:sz="4" w:space="0"/>
              <w:right w:val="single" w:color="auto" w:sz="4" w:space="0"/>
            </w:tcBorders>
            <w:noWrap w:val="0"/>
            <w:vAlign w:val="center"/>
          </w:tcPr>
          <w:p w14:paraId="33E6D1BF">
            <w:pPr>
              <w:keepNext w:val="0"/>
              <w:keepLines w:val="0"/>
              <w:pageBreakBefore w:val="0"/>
              <w:widowControl w:val="0"/>
              <w:spacing w:line="240" w:lineRule="auto"/>
              <w:ind w:firstLine="0"/>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招标要求的技术条款</w:t>
            </w:r>
          </w:p>
        </w:tc>
        <w:tc>
          <w:tcPr>
            <w:tcW w:w="1903" w:type="pct"/>
            <w:tcBorders>
              <w:top w:val="single" w:color="auto" w:sz="4" w:space="0"/>
              <w:left w:val="single" w:color="auto" w:sz="4" w:space="0"/>
              <w:bottom w:val="single" w:color="auto" w:sz="4" w:space="0"/>
              <w:right w:val="single" w:color="auto" w:sz="4" w:space="0"/>
            </w:tcBorders>
            <w:noWrap w:val="0"/>
            <w:vAlign w:val="center"/>
          </w:tcPr>
          <w:p w14:paraId="723F95A7">
            <w:pPr>
              <w:keepNext w:val="0"/>
              <w:keepLines w:val="0"/>
              <w:pageBreakBefore w:val="0"/>
              <w:widowControl w:val="0"/>
              <w:spacing w:line="240" w:lineRule="auto"/>
              <w:ind w:firstLine="0"/>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投标响应</w:t>
            </w:r>
          </w:p>
        </w:tc>
        <w:tc>
          <w:tcPr>
            <w:tcW w:w="795" w:type="pct"/>
            <w:tcBorders>
              <w:top w:val="single" w:color="auto" w:sz="4" w:space="0"/>
              <w:left w:val="single" w:color="auto" w:sz="4" w:space="0"/>
              <w:bottom w:val="single" w:color="auto" w:sz="4" w:space="0"/>
              <w:right w:val="single" w:color="auto" w:sz="4" w:space="0"/>
            </w:tcBorders>
            <w:noWrap w:val="0"/>
            <w:vAlign w:val="center"/>
          </w:tcPr>
          <w:p w14:paraId="015D73FB">
            <w:pPr>
              <w:keepNext w:val="0"/>
              <w:keepLines w:val="0"/>
              <w:pageBreakBefore w:val="0"/>
              <w:widowControl w:val="0"/>
              <w:spacing w:line="240" w:lineRule="auto"/>
              <w:ind w:firstLine="0"/>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偏离</w:t>
            </w:r>
          </w:p>
        </w:tc>
      </w:tr>
      <w:tr w14:paraId="6F6514B2">
        <w:tblPrEx>
          <w:tblCellMar>
            <w:top w:w="0" w:type="dxa"/>
            <w:left w:w="0" w:type="dxa"/>
            <w:bottom w:w="0" w:type="dxa"/>
            <w:right w:w="0" w:type="dxa"/>
          </w:tblCellMar>
        </w:tblPrEx>
        <w:trPr>
          <w:trHeight w:val="227" w:hRule="atLeast"/>
          <w:jc w:val="center"/>
        </w:trPr>
        <w:tc>
          <w:tcPr>
            <w:tcW w:w="464" w:type="pct"/>
            <w:tcBorders>
              <w:top w:val="single" w:color="auto" w:sz="4" w:space="0"/>
              <w:left w:val="single" w:color="auto" w:sz="4" w:space="0"/>
              <w:bottom w:val="single" w:color="auto" w:sz="4" w:space="0"/>
              <w:right w:val="single" w:color="auto" w:sz="4" w:space="0"/>
            </w:tcBorders>
            <w:noWrap w:val="0"/>
            <w:vAlign w:val="center"/>
          </w:tcPr>
          <w:p w14:paraId="530B6550">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c>
          <w:tcPr>
            <w:tcW w:w="1836" w:type="pct"/>
            <w:tcBorders>
              <w:top w:val="single" w:color="auto" w:sz="4" w:space="0"/>
              <w:left w:val="single" w:color="auto" w:sz="4" w:space="0"/>
              <w:bottom w:val="single" w:color="auto" w:sz="4" w:space="0"/>
              <w:right w:val="single" w:color="auto" w:sz="4" w:space="0"/>
            </w:tcBorders>
            <w:noWrap w:val="0"/>
            <w:vAlign w:val="center"/>
          </w:tcPr>
          <w:p w14:paraId="5E3B4616">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c>
          <w:tcPr>
            <w:tcW w:w="1903" w:type="pct"/>
            <w:tcBorders>
              <w:top w:val="single" w:color="auto" w:sz="4" w:space="0"/>
              <w:left w:val="single" w:color="auto" w:sz="4" w:space="0"/>
              <w:bottom w:val="single" w:color="auto" w:sz="4" w:space="0"/>
              <w:right w:val="single" w:color="auto" w:sz="4" w:space="0"/>
            </w:tcBorders>
            <w:noWrap w:val="0"/>
            <w:vAlign w:val="center"/>
          </w:tcPr>
          <w:p w14:paraId="156FF899">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c>
          <w:tcPr>
            <w:tcW w:w="795" w:type="pct"/>
            <w:tcBorders>
              <w:top w:val="single" w:color="auto" w:sz="4" w:space="0"/>
              <w:left w:val="single" w:color="auto" w:sz="4" w:space="0"/>
              <w:bottom w:val="single" w:color="auto" w:sz="4" w:space="0"/>
              <w:right w:val="single" w:color="auto" w:sz="4" w:space="0"/>
            </w:tcBorders>
            <w:noWrap w:val="0"/>
            <w:vAlign w:val="center"/>
          </w:tcPr>
          <w:p w14:paraId="1FDA5CF0">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r>
      <w:tr w14:paraId="7CA8950B">
        <w:tblPrEx>
          <w:tblCellMar>
            <w:top w:w="0" w:type="dxa"/>
            <w:left w:w="0" w:type="dxa"/>
            <w:bottom w:w="0" w:type="dxa"/>
            <w:right w:w="0" w:type="dxa"/>
          </w:tblCellMar>
        </w:tblPrEx>
        <w:trPr>
          <w:trHeight w:val="227" w:hRule="atLeast"/>
          <w:jc w:val="center"/>
        </w:trPr>
        <w:tc>
          <w:tcPr>
            <w:tcW w:w="464" w:type="pct"/>
            <w:tcBorders>
              <w:top w:val="single" w:color="auto" w:sz="4" w:space="0"/>
              <w:left w:val="single" w:color="auto" w:sz="4" w:space="0"/>
              <w:bottom w:val="single" w:color="auto" w:sz="4" w:space="0"/>
              <w:right w:val="single" w:color="auto" w:sz="4" w:space="0"/>
            </w:tcBorders>
            <w:noWrap w:val="0"/>
            <w:vAlign w:val="center"/>
          </w:tcPr>
          <w:p w14:paraId="29AEA68E">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c>
          <w:tcPr>
            <w:tcW w:w="1836" w:type="pct"/>
            <w:tcBorders>
              <w:top w:val="single" w:color="auto" w:sz="4" w:space="0"/>
              <w:left w:val="single" w:color="auto" w:sz="4" w:space="0"/>
              <w:bottom w:val="single" w:color="auto" w:sz="4" w:space="0"/>
              <w:right w:val="single" w:color="auto" w:sz="4" w:space="0"/>
            </w:tcBorders>
            <w:noWrap w:val="0"/>
            <w:vAlign w:val="center"/>
          </w:tcPr>
          <w:p w14:paraId="7FDB810D">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c>
          <w:tcPr>
            <w:tcW w:w="1903" w:type="pct"/>
            <w:tcBorders>
              <w:top w:val="single" w:color="auto" w:sz="4" w:space="0"/>
              <w:left w:val="single" w:color="auto" w:sz="4" w:space="0"/>
              <w:bottom w:val="single" w:color="auto" w:sz="4" w:space="0"/>
              <w:right w:val="single" w:color="auto" w:sz="4" w:space="0"/>
            </w:tcBorders>
            <w:noWrap w:val="0"/>
            <w:vAlign w:val="center"/>
          </w:tcPr>
          <w:p w14:paraId="1CF37F1F">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c>
          <w:tcPr>
            <w:tcW w:w="795" w:type="pct"/>
            <w:tcBorders>
              <w:top w:val="single" w:color="auto" w:sz="4" w:space="0"/>
              <w:left w:val="single" w:color="auto" w:sz="4" w:space="0"/>
              <w:bottom w:val="single" w:color="auto" w:sz="4" w:space="0"/>
              <w:right w:val="single" w:color="auto" w:sz="4" w:space="0"/>
            </w:tcBorders>
            <w:noWrap w:val="0"/>
            <w:vAlign w:val="center"/>
          </w:tcPr>
          <w:p w14:paraId="2D6473D1">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r>
      <w:tr w14:paraId="5CBC5AB4">
        <w:tblPrEx>
          <w:tblCellMar>
            <w:top w:w="0" w:type="dxa"/>
            <w:left w:w="0" w:type="dxa"/>
            <w:bottom w:w="0" w:type="dxa"/>
            <w:right w:w="0" w:type="dxa"/>
          </w:tblCellMar>
        </w:tblPrEx>
        <w:trPr>
          <w:trHeight w:val="227" w:hRule="atLeast"/>
          <w:jc w:val="center"/>
        </w:trPr>
        <w:tc>
          <w:tcPr>
            <w:tcW w:w="464" w:type="pct"/>
            <w:tcBorders>
              <w:top w:val="single" w:color="auto" w:sz="4" w:space="0"/>
              <w:left w:val="single" w:color="auto" w:sz="4" w:space="0"/>
              <w:bottom w:val="single" w:color="auto" w:sz="4" w:space="0"/>
              <w:right w:val="single" w:color="auto" w:sz="4" w:space="0"/>
            </w:tcBorders>
            <w:noWrap w:val="0"/>
            <w:vAlign w:val="center"/>
          </w:tcPr>
          <w:p w14:paraId="5B900EBD">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c>
          <w:tcPr>
            <w:tcW w:w="1836" w:type="pct"/>
            <w:tcBorders>
              <w:top w:val="single" w:color="auto" w:sz="4" w:space="0"/>
              <w:left w:val="single" w:color="auto" w:sz="4" w:space="0"/>
              <w:bottom w:val="single" w:color="auto" w:sz="4" w:space="0"/>
              <w:right w:val="single" w:color="auto" w:sz="4" w:space="0"/>
            </w:tcBorders>
            <w:noWrap w:val="0"/>
            <w:vAlign w:val="center"/>
          </w:tcPr>
          <w:p w14:paraId="19A3EB6C">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c>
          <w:tcPr>
            <w:tcW w:w="1903" w:type="pct"/>
            <w:tcBorders>
              <w:top w:val="single" w:color="auto" w:sz="4" w:space="0"/>
              <w:left w:val="single" w:color="auto" w:sz="4" w:space="0"/>
              <w:bottom w:val="single" w:color="auto" w:sz="4" w:space="0"/>
              <w:right w:val="single" w:color="auto" w:sz="4" w:space="0"/>
            </w:tcBorders>
            <w:noWrap w:val="0"/>
            <w:vAlign w:val="center"/>
          </w:tcPr>
          <w:p w14:paraId="2FFBE52B">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c>
          <w:tcPr>
            <w:tcW w:w="795" w:type="pct"/>
            <w:tcBorders>
              <w:top w:val="single" w:color="auto" w:sz="4" w:space="0"/>
              <w:left w:val="single" w:color="auto" w:sz="4" w:space="0"/>
              <w:bottom w:val="single" w:color="auto" w:sz="4" w:space="0"/>
              <w:right w:val="single" w:color="auto" w:sz="4" w:space="0"/>
            </w:tcBorders>
            <w:noWrap w:val="0"/>
            <w:vAlign w:val="center"/>
          </w:tcPr>
          <w:p w14:paraId="3038A952">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r>
    </w:tbl>
    <w:p w14:paraId="61F23F05">
      <w:pPr>
        <w:rPr>
          <w:color w:val="000000" w:themeColor="text1"/>
          <w:highlight w:val="none"/>
          <w:lang w:val="zh-CN"/>
          <w14:textFill>
            <w14:solidFill>
              <w14:schemeClr w14:val="tx1"/>
            </w14:solidFill>
          </w14:textFill>
        </w:rPr>
      </w:pPr>
    </w:p>
    <w:p w14:paraId="307CD6DB">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（盖章）</w:t>
      </w:r>
    </w:p>
    <w:p w14:paraId="18847C93">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说明：</w:t>
      </w: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lang w:val="zh-CN"/>
          <w14:textFill>
            <w14:solidFill>
              <w14:schemeClr w14:val="tx1"/>
            </w14:solidFill>
          </w14:textFill>
        </w:rPr>
        <w:t>如果行数不够，请自行增加；</w:t>
      </w:r>
    </w:p>
    <w:p w14:paraId="557370F0">
      <w:pPr>
        <w:rPr>
          <w:color w:val="000000" w:themeColor="text1"/>
          <w:highlight w:val="none"/>
          <w:lang w:val="zh-CN"/>
          <w14:textFill>
            <w14:solidFill>
              <w14:schemeClr w14:val="tx1"/>
            </w14:solidFill>
          </w14:textFill>
        </w:rPr>
      </w:pPr>
      <w:r>
        <w:rPr>
          <w:rFonts w:hint="eastAsia"/>
          <w:color w:val="000000" w:themeColor="text1"/>
          <w:highlight w:val="none"/>
          <w:lang w:eastAsia="zh-CN"/>
          <w14:textFill>
            <w14:solidFill>
              <w14:schemeClr w14:val="tx1"/>
            </w14:solidFill>
          </w14:textFill>
        </w:rPr>
        <w:t>2.</w:t>
      </w:r>
      <w:r>
        <w:rPr>
          <w:rFonts w:hint="eastAsia"/>
          <w:color w:val="000000" w:themeColor="text1"/>
          <w:highlight w:val="none"/>
          <w:lang w:val="zh-CN"/>
          <w14:textFill>
            <w14:solidFill>
              <w14:schemeClr w14:val="tx1"/>
            </w14:solidFill>
          </w14:textFill>
        </w:rPr>
        <w:t>投标人应</w:t>
      </w:r>
      <w:r>
        <w:rPr>
          <w:rFonts w:hint="eastAsia"/>
          <w:color w:val="000000" w:themeColor="text1"/>
          <w:highlight w:val="none"/>
          <w:lang w:val="en-US" w:eastAsia="zh-CN"/>
          <w14:textFill>
            <w14:solidFill>
              <w14:schemeClr w14:val="tx1"/>
            </w14:solidFill>
          </w14:textFill>
        </w:rPr>
        <w:t>针对第四章采购需求的技术部分内容</w:t>
      </w:r>
      <w:r>
        <w:rPr>
          <w:rFonts w:hint="eastAsia"/>
          <w:color w:val="000000" w:themeColor="text1"/>
          <w:highlight w:val="none"/>
          <w:lang w:val="zh-CN"/>
          <w14:textFill>
            <w14:solidFill>
              <w14:schemeClr w14:val="tx1"/>
            </w14:solidFill>
          </w14:textFill>
        </w:rPr>
        <w:t>逐一说明。</w:t>
      </w:r>
    </w:p>
    <w:p w14:paraId="084C5FDF">
      <w:pPr>
        <w:rPr>
          <w:color w:val="000000" w:themeColor="text1"/>
          <w:highlight w:val="none"/>
          <w:lang w:val="zh-CN"/>
          <w14:textFill>
            <w14:solidFill>
              <w14:schemeClr w14:val="tx1"/>
            </w14:solidFill>
          </w14:textFill>
        </w:rPr>
      </w:pPr>
    </w:p>
    <w:p w14:paraId="16C62B28">
      <w:pPr>
        <w:rPr>
          <w:color w:val="000000" w:themeColor="text1"/>
          <w:highlight w:val="none"/>
          <w:lang w:val="zh-CN"/>
          <w14:textFill>
            <w14:solidFill>
              <w14:schemeClr w14:val="tx1"/>
            </w14:solidFill>
          </w14:textFill>
        </w:rPr>
      </w:pPr>
    </w:p>
    <w:p w14:paraId="6D12F5A4">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附：证明材料1，证明材料2……（如招标文件要求提供佐证材料的，须将证明材料列于技术条款偏离表之下）</w:t>
      </w:r>
    </w:p>
    <w:p w14:paraId="271B332C">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p>
    <w:p w14:paraId="6924AF8F">
      <w:pPr>
        <w:pStyle w:val="4"/>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目录七、商务条款</w:t>
      </w:r>
      <w:r>
        <w:rPr>
          <w:rFonts w:hint="eastAsia"/>
          <w:color w:val="000000" w:themeColor="text1"/>
          <w:highlight w:val="none"/>
          <w:lang w:val="en-US" w:eastAsia="zh-CN"/>
          <w14:textFill>
            <w14:solidFill>
              <w14:schemeClr w14:val="tx1"/>
            </w14:solidFill>
          </w14:textFill>
        </w:rPr>
        <w:t>偏离</w:t>
      </w:r>
      <w:r>
        <w:rPr>
          <w:rFonts w:hint="eastAsia"/>
          <w:color w:val="000000" w:themeColor="text1"/>
          <w:highlight w:val="none"/>
          <w:lang w:val="zh-CN"/>
          <w14:textFill>
            <w14:solidFill>
              <w14:schemeClr w14:val="tx1"/>
            </w14:solidFill>
          </w14:textFill>
        </w:rPr>
        <w:t>表格式</w:t>
      </w:r>
    </w:p>
    <w:p w14:paraId="31F4E41E">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zh-CN"/>
          <w14:textFill>
            <w14:solidFill>
              <w14:schemeClr w14:val="tx1"/>
            </w14:solidFill>
          </w14:textFill>
        </w:rPr>
        <w:t>商务条款</w:t>
      </w:r>
      <w:r>
        <w:rPr>
          <w:rFonts w:hint="eastAsia" w:ascii="Times New Roman" w:hAnsi="Times New Roman" w:eastAsia="宋体"/>
          <w:b/>
          <w:bCs/>
          <w:color w:val="000000" w:themeColor="text1"/>
          <w:highlight w:val="none"/>
          <w:lang w:val="en-US" w:eastAsia="zh-CN"/>
          <w14:textFill>
            <w14:solidFill>
              <w14:schemeClr w14:val="tx1"/>
            </w14:solidFill>
          </w14:textFill>
        </w:rPr>
        <w:t>偏离</w:t>
      </w:r>
      <w:r>
        <w:rPr>
          <w:rFonts w:hint="eastAsia" w:ascii="Times New Roman" w:hAnsi="Times New Roman" w:eastAsia="宋体"/>
          <w:b/>
          <w:bCs/>
          <w:color w:val="000000" w:themeColor="text1"/>
          <w:highlight w:val="none"/>
          <w:lang w:val="zh-CN"/>
          <w14:textFill>
            <w14:solidFill>
              <w14:schemeClr w14:val="tx1"/>
            </w14:solidFill>
          </w14:textFill>
        </w:rPr>
        <w:t>表</w:t>
      </w:r>
    </w:p>
    <w:tbl>
      <w:tblPr>
        <w:tblStyle w:val="3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22"/>
        <w:gridCol w:w="3308"/>
        <w:gridCol w:w="3077"/>
        <w:gridCol w:w="1573"/>
      </w:tblGrid>
      <w:tr w14:paraId="0D452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2439" w:type="pct"/>
            <w:gridSpan w:val="2"/>
            <w:tcBorders>
              <w:top w:val="single" w:color="auto" w:sz="4" w:space="0"/>
              <w:left w:val="single" w:color="auto" w:sz="4" w:space="0"/>
              <w:right w:val="single" w:color="auto" w:sz="4" w:space="0"/>
            </w:tcBorders>
            <w:noWrap w:val="0"/>
            <w:vAlign w:val="center"/>
          </w:tcPr>
          <w:p w14:paraId="4C647B9B">
            <w:pPr>
              <w:keepNext w:val="0"/>
              <w:keepLines w:val="0"/>
              <w:pageBreakBefore w:val="0"/>
              <w:widowControl w:val="0"/>
              <w:spacing w:line="240" w:lineRule="auto"/>
              <w:ind w:firstLine="0"/>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项目名称：</w:t>
            </w:r>
          </w:p>
        </w:tc>
        <w:tc>
          <w:tcPr>
            <w:tcW w:w="2560" w:type="pct"/>
            <w:gridSpan w:val="2"/>
            <w:tcBorders>
              <w:top w:val="single" w:color="auto" w:sz="4" w:space="0"/>
              <w:left w:val="single" w:color="auto" w:sz="4" w:space="0"/>
              <w:right w:val="single" w:color="auto" w:sz="4" w:space="0"/>
            </w:tcBorders>
            <w:noWrap w:val="0"/>
            <w:vAlign w:val="center"/>
          </w:tcPr>
          <w:p w14:paraId="2552AFC8">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项目编号：</w:t>
            </w:r>
          </w:p>
        </w:tc>
      </w:tr>
      <w:tr w14:paraId="4EEF3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18" w:type="pct"/>
            <w:tcBorders>
              <w:left w:val="single" w:color="auto" w:sz="4" w:space="0"/>
              <w:right w:val="single" w:color="auto" w:sz="4" w:space="0"/>
            </w:tcBorders>
            <w:noWrap w:val="0"/>
            <w:vAlign w:val="center"/>
          </w:tcPr>
          <w:p w14:paraId="5B260B84">
            <w:pPr>
              <w:keepNext w:val="0"/>
              <w:keepLines w:val="0"/>
              <w:pageBreakBefore w:val="0"/>
              <w:widowControl w:val="0"/>
              <w:spacing w:line="240" w:lineRule="auto"/>
              <w:ind w:firstLine="0"/>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序号</w:t>
            </w:r>
          </w:p>
        </w:tc>
        <w:tc>
          <w:tcPr>
            <w:tcW w:w="1820" w:type="pct"/>
            <w:tcBorders>
              <w:left w:val="single" w:color="auto" w:sz="4" w:space="0"/>
              <w:right w:val="single" w:color="auto" w:sz="4" w:space="0"/>
            </w:tcBorders>
            <w:noWrap w:val="0"/>
            <w:vAlign w:val="center"/>
          </w:tcPr>
          <w:p w14:paraId="69CCCF04">
            <w:pPr>
              <w:keepNext w:val="0"/>
              <w:keepLines w:val="0"/>
              <w:pageBreakBefore w:val="0"/>
              <w:widowControl w:val="0"/>
              <w:spacing w:line="240" w:lineRule="auto"/>
              <w:ind w:firstLine="0"/>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招标文件要求的商务条款</w:t>
            </w:r>
          </w:p>
        </w:tc>
        <w:tc>
          <w:tcPr>
            <w:tcW w:w="1694" w:type="pct"/>
            <w:tcBorders>
              <w:left w:val="single" w:color="auto" w:sz="4" w:space="0"/>
              <w:right w:val="single" w:color="auto" w:sz="4" w:space="0"/>
            </w:tcBorders>
            <w:noWrap w:val="0"/>
            <w:vAlign w:val="center"/>
          </w:tcPr>
          <w:p w14:paraId="597A5655">
            <w:pPr>
              <w:keepNext w:val="0"/>
              <w:keepLines w:val="0"/>
              <w:pageBreakBefore w:val="0"/>
              <w:widowControl w:val="0"/>
              <w:spacing w:line="240" w:lineRule="auto"/>
              <w:ind w:firstLine="0"/>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投标响应</w:t>
            </w:r>
          </w:p>
        </w:tc>
        <w:tc>
          <w:tcPr>
            <w:tcW w:w="866" w:type="pct"/>
            <w:tcBorders>
              <w:left w:val="single" w:color="auto" w:sz="4" w:space="0"/>
              <w:right w:val="single" w:color="auto" w:sz="4" w:space="0"/>
            </w:tcBorders>
            <w:noWrap w:val="0"/>
            <w:vAlign w:val="center"/>
          </w:tcPr>
          <w:p w14:paraId="697FF366">
            <w:pPr>
              <w:keepNext w:val="0"/>
              <w:keepLines w:val="0"/>
              <w:pageBreakBefore w:val="0"/>
              <w:widowControl w:val="0"/>
              <w:spacing w:line="240" w:lineRule="auto"/>
              <w:ind w:firstLine="0"/>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偏离</w:t>
            </w:r>
          </w:p>
        </w:tc>
      </w:tr>
      <w:tr w14:paraId="6CD24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18" w:type="pct"/>
            <w:tcBorders>
              <w:left w:val="single" w:color="auto" w:sz="4" w:space="0"/>
              <w:right w:val="single" w:color="auto" w:sz="4" w:space="0"/>
            </w:tcBorders>
            <w:noWrap w:val="0"/>
            <w:vAlign w:val="center"/>
          </w:tcPr>
          <w:p w14:paraId="2D105950">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c>
          <w:tcPr>
            <w:tcW w:w="1820" w:type="pct"/>
            <w:tcBorders>
              <w:left w:val="single" w:color="auto" w:sz="4" w:space="0"/>
              <w:right w:val="single" w:color="auto" w:sz="4" w:space="0"/>
            </w:tcBorders>
            <w:noWrap w:val="0"/>
            <w:vAlign w:val="center"/>
          </w:tcPr>
          <w:p w14:paraId="7206189D">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c>
          <w:tcPr>
            <w:tcW w:w="1694" w:type="pct"/>
            <w:tcBorders>
              <w:left w:val="single" w:color="auto" w:sz="4" w:space="0"/>
              <w:right w:val="single" w:color="auto" w:sz="4" w:space="0"/>
            </w:tcBorders>
            <w:noWrap w:val="0"/>
            <w:vAlign w:val="center"/>
          </w:tcPr>
          <w:p w14:paraId="7F40EC0C">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c>
          <w:tcPr>
            <w:tcW w:w="866" w:type="pct"/>
            <w:tcBorders>
              <w:left w:val="single" w:color="auto" w:sz="4" w:space="0"/>
              <w:right w:val="single" w:color="auto" w:sz="4" w:space="0"/>
            </w:tcBorders>
            <w:noWrap w:val="0"/>
            <w:vAlign w:val="center"/>
          </w:tcPr>
          <w:p w14:paraId="4D28871A">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r>
      <w:tr w14:paraId="06A72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18" w:type="pct"/>
            <w:tcBorders>
              <w:left w:val="single" w:color="auto" w:sz="4" w:space="0"/>
              <w:right w:val="single" w:color="auto" w:sz="4" w:space="0"/>
            </w:tcBorders>
            <w:noWrap w:val="0"/>
            <w:vAlign w:val="center"/>
          </w:tcPr>
          <w:p w14:paraId="161BA7BC">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c>
          <w:tcPr>
            <w:tcW w:w="1820" w:type="pct"/>
            <w:tcBorders>
              <w:left w:val="single" w:color="auto" w:sz="4" w:space="0"/>
              <w:right w:val="single" w:color="auto" w:sz="4" w:space="0"/>
            </w:tcBorders>
            <w:noWrap w:val="0"/>
            <w:vAlign w:val="center"/>
          </w:tcPr>
          <w:p w14:paraId="6FD94066">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c>
          <w:tcPr>
            <w:tcW w:w="1694" w:type="pct"/>
            <w:tcBorders>
              <w:left w:val="single" w:color="auto" w:sz="4" w:space="0"/>
              <w:right w:val="single" w:color="auto" w:sz="4" w:space="0"/>
            </w:tcBorders>
            <w:noWrap w:val="0"/>
            <w:vAlign w:val="center"/>
          </w:tcPr>
          <w:p w14:paraId="3055473D">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c>
          <w:tcPr>
            <w:tcW w:w="866" w:type="pct"/>
            <w:tcBorders>
              <w:left w:val="single" w:color="auto" w:sz="4" w:space="0"/>
              <w:right w:val="single" w:color="auto" w:sz="4" w:space="0"/>
            </w:tcBorders>
            <w:noWrap w:val="0"/>
            <w:vAlign w:val="center"/>
          </w:tcPr>
          <w:p w14:paraId="1320A58E">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r>
      <w:tr w14:paraId="3ADA9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18" w:type="pct"/>
            <w:tcBorders>
              <w:left w:val="single" w:color="auto" w:sz="4" w:space="0"/>
              <w:right w:val="single" w:color="auto" w:sz="4" w:space="0"/>
            </w:tcBorders>
            <w:noWrap w:val="0"/>
            <w:vAlign w:val="center"/>
          </w:tcPr>
          <w:p w14:paraId="43E508E9">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c>
          <w:tcPr>
            <w:tcW w:w="1820" w:type="pct"/>
            <w:tcBorders>
              <w:left w:val="single" w:color="auto" w:sz="4" w:space="0"/>
              <w:right w:val="single" w:color="auto" w:sz="4" w:space="0"/>
            </w:tcBorders>
            <w:noWrap w:val="0"/>
            <w:vAlign w:val="center"/>
          </w:tcPr>
          <w:p w14:paraId="540F3B0C">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c>
          <w:tcPr>
            <w:tcW w:w="1694" w:type="pct"/>
            <w:tcBorders>
              <w:left w:val="single" w:color="auto" w:sz="4" w:space="0"/>
              <w:right w:val="single" w:color="auto" w:sz="4" w:space="0"/>
            </w:tcBorders>
            <w:noWrap w:val="0"/>
            <w:vAlign w:val="center"/>
          </w:tcPr>
          <w:p w14:paraId="03FCB43B">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c>
          <w:tcPr>
            <w:tcW w:w="866" w:type="pct"/>
            <w:tcBorders>
              <w:left w:val="single" w:color="auto" w:sz="4" w:space="0"/>
              <w:right w:val="single" w:color="auto" w:sz="4" w:space="0"/>
            </w:tcBorders>
            <w:noWrap w:val="0"/>
            <w:vAlign w:val="center"/>
          </w:tcPr>
          <w:p w14:paraId="148BBD0D">
            <w:pPr>
              <w:keepNext w:val="0"/>
              <w:keepLines w:val="0"/>
              <w:pageBreakBefore w:val="0"/>
              <w:widowControl w:val="0"/>
              <w:spacing w:line="240" w:lineRule="auto"/>
              <w:ind w:firstLine="0"/>
              <w:rPr>
                <w:color w:val="000000" w:themeColor="text1"/>
                <w:highlight w:val="none"/>
                <w:lang w:val="zh-CN"/>
                <w14:textFill>
                  <w14:solidFill>
                    <w14:schemeClr w14:val="tx1"/>
                  </w14:solidFill>
                </w14:textFill>
              </w:rPr>
            </w:pPr>
          </w:p>
        </w:tc>
      </w:tr>
    </w:tbl>
    <w:p w14:paraId="53C89C61">
      <w:pPr>
        <w:rPr>
          <w:color w:val="000000" w:themeColor="text1"/>
          <w:highlight w:val="none"/>
          <w:lang w:val="zh-CN"/>
          <w14:textFill>
            <w14:solidFill>
              <w14:schemeClr w14:val="tx1"/>
            </w14:solidFill>
          </w14:textFill>
        </w:rPr>
      </w:pPr>
    </w:p>
    <w:p w14:paraId="2AF5386E">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（盖章）</w:t>
      </w:r>
    </w:p>
    <w:p w14:paraId="00CEBAA7">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说明：</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lang w:val="zh-CN"/>
          <w14:textFill>
            <w14:solidFill>
              <w14:schemeClr w14:val="tx1"/>
            </w14:solidFill>
          </w14:textFill>
        </w:rPr>
        <w:t>如果行数不够，请自行增加。</w:t>
      </w:r>
    </w:p>
    <w:p w14:paraId="407442F0">
      <w:pPr>
        <w:rPr>
          <w:rFonts w:hint="eastAsia"/>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lang w:val="zh-CN"/>
          <w14:textFill>
            <w14:solidFill>
              <w14:schemeClr w14:val="tx1"/>
            </w14:solidFill>
          </w14:textFill>
        </w:rPr>
        <w:t>投标人应</w:t>
      </w:r>
      <w:r>
        <w:rPr>
          <w:rFonts w:hint="eastAsia"/>
          <w:color w:val="000000" w:themeColor="text1"/>
          <w:highlight w:val="none"/>
          <w:lang w:val="en-US" w:eastAsia="zh-CN"/>
          <w14:textFill>
            <w14:solidFill>
              <w14:schemeClr w14:val="tx1"/>
            </w14:solidFill>
          </w14:textFill>
        </w:rPr>
        <w:t>针对第四章采购需求的商务部分内容</w:t>
      </w:r>
      <w:r>
        <w:rPr>
          <w:rFonts w:hint="eastAsia"/>
          <w:color w:val="000000" w:themeColor="text1"/>
          <w:highlight w:val="none"/>
          <w:lang w:val="zh-CN"/>
          <w14:textFill>
            <w14:solidFill>
              <w14:schemeClr w14:val="tx1"/>
            </w14:solidFill>
          </w14:textFill>
        </w:rPr>
        <w:t>逐一说明。</w:t>
      </w:r>
    </w:p>
    <w:p w14:paraId="7D076D22">
      <w:pPr>
        <w:rPr>
          <w:rFonts w:hint="eastAsia"/>
          <w:color w:val="000000" w:themeColor="text1"/>
          <w:highlight w:val="none"/>
          <w:lang w:val="zh-CN"/>
          <w14:textFill>
            <w14:solidFill>
              <w14:schemeClr w14:val="tx1"/>
            </w14:solidFill>
          </w14:textFill>
        </w:rPr>
      </w:pPr>
    </w:p>
    <w:p w14:paraId="32B1C004">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附：证明材料1，证明材料2……（如招标文件要求提供佐证材料的，须将证明材料列于商务条款偏离表之下）</w:t>
      </w:r>
    </w:p>
    <w:p w14:paraId="44594AB9">
      <w:pPr>
        <w:rPr>
          <w:rFonts w:hint="eastAsia"/>
          <w:color w:val="000000" w:themeColor="text1"/>
          <w:highlight w:val="none"/>
          <w:lang w:val="zh-CN"/>
          <w14:textFill>
            <w14:solidFill>
              <w14:schemeClr w14:val="tx1"/>
            </w14:solidFill>
          </w14:textFill>
        </w:rPr>
      </w:pPr>
    </w:p>
    <w:p w14:paraId="08E2600C">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p>
    <w:p w14:paraId="24F45B59">
      <w:pPr>
        <w:pStyle w:val="4"/>
        <w:ind w:left="0" w:firstLine="0"/>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目录</w:t>
      </w:r>
      <w:r>
        <w:rPr>
          <w:rFonts w:hint="eastAsia"/>
          <w:color w:val="000000" w:themeColor="text1"/>
          <w:highlight w:val="none"/>
          <w:lang w:val="en-US" w:eastAsia="zh-CN"/>
          <w14:textFill>
            <w14:solidFill>
              <w14:schemeClr w14:val="tx1"/>
            </w14:solidFill>
          </w14:textFill>
        </w:rPr>
        <w:t>八</w:t>
      </w:r>
      <w:r>
        <w:rPr>
          <w:rFonts w:hint="eastAsia"/>
          <w:color w:val="000000" w:themeColor="text1"/>
          <w:highlight w:val="none"/>
          <w14:textFill>
            <w14:solidFill>
              <w14:schemeClr w14:val="tx1"/>
            </w14:solidFill>
          </w14:textFill>
        </w:rPr>
        <w:t>、</w:t>
      </w:r>
      <w:r>
        <w:rPr>
          <w:rFonts w:hint="eastAsia" w:eastAsia="宋体"/>
          <w:color w:val="000000" w:themeColor="text1"/>
          <w:highlight w:val="none"/>
          <w14:textFill>
            <w14:solidFill>
              <w14:schemeClr w14:val="tx1"/>
            </w14:solidFill>
          </w14:textFill>
        </w:rPr>
        <w:t>投标需要的其他证明文件及材料</w:t>
      </w:r>
    </w:p>
    <w:p w14:paraId="2526B1BC">
      <w:pPr>
        <w:keepNext w:val="0"/>
        <w:keepLines w:val="0"/>
        <w:pageBreakBefore w:val="0"/>
        <w:widowControl w:val="0"/>
        <w:ind w:firstLine="0"/>
        <w:jc w:val="center"/>
        <w:rPr>
          <w:rFonts w:hint="eastAsia" w:ascii="Times New Roman" w:hAnsi="Times New Roman" w:eastAsia="宋体"/>
          <w:color w:val="000000" w:themeColor="text1"/>
          <w:highlight w:val="none"/>
          <w:lang w:val="zh-CN"/>
          <w14:textFill>
            <w14:solidFill>
              <w14:schemeClr w14:val="tx1"/>
            </w14:solidFill>
          </w14:textFill>
        </w:rPr>
      </w:pPr>
      <w:r>
        <w:rPr>
          <w:rFonts w:hint="eastAsia" w:ascii="Times New Roman" w:hAnsi="Times New Roman" w:eastAsia="宋体"/>
          <w:color w:val="000000" w:themeColor="text1"/>
          <w:highlight w:val="none"/>
          <w:lang w:val="zh-CN"/>
          <w14:textFill>
            <w14:solidFill>
              <w14:schemeClr w14:val="tx1"/>
            </w14:solidFill>
          </w14:textFill>
        </w:rPr>
        <w:t>投标需要的其他证明文件及材料（若有）</w:t>
      </w:r>
    </w:p>
    <w:p w14:paraId="32791D8C">
      <w:pPr>
        <w:keepNext w:val="0"/>
        <w:keepLines w:val="0"/>
        <w:pageBreakBefore w:val="0"/>
        <w:widowControl w:val="0"/>
        <w:ind w:firstLine="0"/>
        <w:jc w:val="center"/>
        <w:rPr>
          <w:rFonts w:hint="default" w:ascii="Times New Roman" w:hAnsi="Times New Roman" w:eastAsia="宋体"/>
          <w:color w:val="000000" w:themeColor="text1"/>
          <w:highlight w:val="none"/>
          <w:lang w:val="en-US" w:eastAsia="zh-CN"/>
          <w14:textFill>
            <w14:solidFill>
              <w14:schemeClr w14:val="tx1"/>
            </w14:solidFill>
          </w14:textFill>
        </w:rPr>
      </w:pPr>
    </w:p>
    <w:sectPr>
      <w:headerReference r:id="rId5" w:type="default"/>
      <w:footerReference r:id="rId6" w:type="default"/>
      <w:pgSz w:w="11906" w:h="16838"/>
      <w:pgMar w:top="1417" w:right="1417" w:bottom="1417" w:left="1417" w:header="851" w:footer="992" w:gutter="0"/>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Cambria">
    <w:panose1 w:val="02040503050406030204"/>
    <w:charset w:val="00"/>
    <w:family w:val="auto"/>
    <w:pitch w:val="default"/>
    <w:sig w:usb0="E00006FF" w:usb1="420024FF" w:usb2="02000000" w:usb3="00000000" w:csb0="2000019F"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1FB93">
    <w:pPr>
      <w:pStyle w:val="2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5ABB57">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3o8bY9AgAAbwQAAA4AAABkcnMvZTJvRG9jLnhtbK1UwY7TMBC9I/EP&#10;lu80aVes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t6PG2PQIAAG8EAAAOAAAAAAAAAAEAIAAAAB8BAABkcnMvZTJv&#10;RG9jLnhtbFBLBQYAAAAABgAGAFkBAADOBQAAAAA=&#10;">
              <v:fill on="f" focussize="0,0"/>
              <v:stroke on="f" weight="0.5pt"/>
              <v:imagedata o:title=""/>
              <o:lock v:ext="edit" aspectratio="f"/>
              <v:textbox inset="0mm,0mm,0mm,0mm" style="mso-fit-shape-to-text:t;">
                <w:txbxContent>
                  <w:p w14:paraId="355ABB57">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C9705">
    <w:pPr>
      <w:pStyle w:val="22"/>
      <w:ind w:left="0" w:firstLine="0"/>
      <w:jc w:val="left"/>
    </w:pPr>
    <w:r>
      <w:drawing>
        <wp:inline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 name="图片 1" descr="c826bae80687e3a7b3b8bc243736336"/>
                  <pic:cNvPicPr/>
                </pic:nvPicPr>
                <pic:blipFill>
                  <a:blip r:embed="rId1"/>
                  <a:stretch>
                    <a:fillRect/>
                  </a:stretch>
                </pic:blipFill>
                <pic:spPr>
                  <a:xfrm>
                    <a:off x="0" y="0"/>
                    <a:ext cx="1377315" cy="238760"/>
                  </a:xfrm>
                  <a:prstGeom prst="rect">
                    <a:avLst/>
                  </a:prstGeom>
                  <a:noFill/>
                  <a:ln>
                    <a:noFill/>
                  </a:ln>
                </pic:spPr>
              </pic:pic>
            </a:graphicData>
          </a:graphic>
        </wp:inline>
      </w:drawing>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认真 高效 廉洁</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pStyle w:val="6"/>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documentProtection w:enforcement="0"/>
  <w:defaultTabStop w:val="420"/>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18656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nhideWhenUsed="0" w:uiPriority="9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1"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20"/>
      <w:jc w:val="left"/>
    </w:pPr>
    <w:rPr>
      <w:rFonts w:hint="default" w:ascii="Times New Roman" w:hAnsi="Times New Roman" w:eastAsia="宋体" w:cstheme="minorBidi"/>
      <w:sz w:val="24"/>
      <w:szCs w:val="24"/>
      <w:lang w:val="en-US" w:eastAsia="zh-CN" w:bidi="ar-SA"/>
    </w:rPr>
  </w:style>
  <w:style w:type="paragraph" w:styleId="3">
    <w:name w:val="heading 1"/>
    <w:basedOn w:val="1"/>
    <w:next w:val="1"/>
    <w:qFormat/>
    <w:uiPriority w:val="0"/>
    <w:pPr>
      <w:keepNext/>
      <w:keepLines/>
      <w:spacing w:beforeAutospacing="0" w:after="100" w:afterAutospacing="0" w:line="240" w:lineRule="auto"/>
      <w:ind w:firstLine="0"/>
      <w:jc w:val="center"/>
      <w:outlineLvl w:val="0"/>
    </w:pPr>
    <w:rPr>
      <w:b/>
      <w:sz w:val="44"/>
    </w:rPr>
  </w:style>
  <w:style w:type="paragraph" w:styleId="4">
    <w:name w:val="heading 2"/>
    <w:basedOn w:val="1"/>
    <w:next w:val="1"/>
    <w:unhideWhenUsed/>
    <w:qFormat/>
    <w:uiPriority w:val="0"/>
    <w:pPr>
      <w:keepNext/>
      <w:keepLines/>
      <w:spacing w:beforeAutospacing="0" w:afterAutospacing="0" w:line="360" w:lineRule="auto"/>
      <w:outlineLvl w:val="1"/>
    </w:pPr>
    <w:rPr>
      <w:rFonts w:ascii="Arial" w:hAnsi="Arial" w:eastAsia="宋体"/>
      <w:b/>
      <w:sz w:val="24"/>
    </w:rPr>
  </w:style>
  <w:style w:type="paragraph" w:styleId="5">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qFormat/>
    <w:uiPriority w:val="99"/>
    <w:pPr>
      <w:keepNext/>
      <w:keepLines/>
      <w:numPr>
        <w:ilvl w:val="3"/>
        <w:numId w:val="1"/>
      </w:numPr>
      <w:spacing w:before="280" w:after="290" w:line="376" w:lineRule="auto"/>
      <w:outlineLvl w:val="3"/>
    </w:pPr>
    <w:rPr>
      <w:rFonts w:ascii="Cambria" w:hAnsi="Cambria"/>
      <w:b/>
      <w:bCs/>
      <w:sz w:val="28"/>
      <w:szCs w:val="28"/>
    </w:rPr>
  </w:style>
  <w:style w:type="paragraph" w:styleId="7">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qFormat/>
    <w:uiPriority w:val="0"/>
  </w:style>
  <w:style w:type="table" w:default="1" w:styleId="33">
    <w:name w:val="Normal Table"/>
    <w:semiHidden/>
    <w:qFormat/>
    <w:uiPriority w:val="0"/>
    <w:tblPr>
      <w:tblCellMar>
        <w:top w:w="0" w:type="dxa"/>
        <w:left w:w="108" w:type="dxa"/>
        <w:bottom w:w="0" w:type="dxa"/>
        <w:right w:w="108" w:type="dxa"/>
      </w:tblCellMar>
    </w:tblPr>
  </w:style>
  <w:style w:type="paragraph" w:styleId="2">
    <w:name w:val="Body Text Indent"/>
    <w:basedOn w:val="1"/>
    <w:next w:val="1"/>
    <w:qFormat/>
    <w:uiPriority w:val="99"/>
    <w:pPr>
      <w:spacing w:after="120"/>
      <w:ind w:left="420"/>
    </w:pPr>
    <w:rPr>
      <w:rFonts w:ascii="Times New Roman" w:hAnsi="Times New Roman" w:eastAsia="宋体"/>
    </w:rPr>
  </w:style>
  <w:style w:type="paragraph" w:styleId="12">
    <w:name w:val="toc 7"/>
    <w:basedOn w:val="1"/>
    <w:next w:val="1"/>
    <w:unhideWhenUsed/>
    <w:uiPriority w:val="39"/>
    <w:pPr>
      <w:spacing w:after="57"/>
      <w:ind w:left="1701" w:right="0" w:firstLine="0"/>
    </w:pPr>
  </w:style>
  <w:style w:type="paragraph" w:styleId="13">
    <w:name w:val="Normal Indent"/>
    <w:basedOn w:val="1"/>
    <w:qFormat/>
    <w:uiPriority w:val="99"/>
    <w:pPr>
      <w:ind w:firstLine="420"/>
    </w:pPr>
    <w:rPr>
      <w:szCs w:val="20"/>
    </w:rPr>
  </w:style>
  <w:style w:type="paragraph" w:styleId="14">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qFormat/>
    <w:uiPriority w:val="1"/>
    <w:pPr>
      <w:spacing w:before="100" w:after="100" w:line="300" w:lineRule="auto"/>
      <w:ind w:firstLine="1044"/>
      <w:jc w:val="both"/>
    </w:pPr>
    <w:rPr>
      <w:rFonts w:ascii="Times New Roman" w:hAnsi="Times New Roman" w:cs="Times New Roman"/>
      <w:sz w:val="24"/>
      <w:szCs w:val="24"/>
      <w:lang w:bidi="ar-SA"/>
    </w:rPr>
  </w:style>
  <w:style w:type="paragraph" w:styleId="17">
    <w:name w:val="toc 5"/>
    <w:basedOn w:val="1"/>
    <w:next w:val="1"/>
    <w:unhideWhenUsed/>
    <w:uiPriority w:val="39"/>
    <w:pPr>
      <w:spacing w:after="57"/>
      <w:ind w:left="1134" w:right="0" w:firstLine="0"/>
    </w:pPr>
  </w:style>
  <w:style w:type="paragraph" w:styleId="18">
    <w:name w:val="toc 3"/>
    <w:basedOn w:val="1"/>
    <w:next w:val="1"/>
    <w:unhideWhenUsed/>
    <w:uiPriority w:val="39"/>
    <w:pPr>
      <w:spacing w:after="57"/>
      <w:ind w:left="567" w:right="0" w:firstLine="0"/>
    </w:pPr>
  </w:style>
  <w:style w:type="paragraph" w:styleId="19">
    <w:name w:val="toc 8"/>
    <w:basedOn w:val="1"/>
    <w:next w:val="1"/>
    <w:unhideWhenUsed/>
    <w:uiPriority w:val="39"/>
    <w:pPr>
      <w:spacing w:after="57"/>
      <w:ind w:left="1984" w:right="0" w:firstLine="0"/>
    </w:pPr>
  </w:style>
  <w:style w:type="paragraph" w:styleId="20">
    <w:name w:val="endnote text"/>
    <w:basedOn w:val="1"/>
    <w:link w:val="186"/>
    <w:semiHidden/>
    <w:unhideWhenUsed/>
    <w:uiPriority w:val="99"/>
    <w:pPr>
      <w:spacing w:after="0" w:line="240" w:lineRule="auto"/>
    </w:pPr>
    <w:rPr>
      <w:sz w:val="20"/>
    </w:rPr>
  </w:style>
  <w:style w:type="paragraph" w:styleId="21">
    <w:name w:val="footer"/>
    <w:basedOn w:val="1"/>
    <w:qFormat/>
    <w:uiPriority w:val="0"/>
    <w:pPr>
      <w:tabs>
        <w:tab w:val="center" w:pos="4153"/>
        <w:tab w:val="right" w:pos="8306"/>
      </w:tabs>
      <w:jc w:val="left"/>
    </w:pPr>
    <w:rPr>
      <w:sz w:val="18"/>
    </w:rPr>
  </w:style>
  <w:style w:type="paragraph" w:styleId="2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outlineLvl w:val="9"/>
    </w:pPr>
    <w:rPr>
      <w:sz w:val="18"/>
    </w:rPr>
  </w:style>
  <w:style w:type="paragraph" w:styleId="23">
    <w:name w:val="toc 1"/>
    <w:basedOn w:val="1"/>
    <w:next w:val="1"/>
    <w:unhideWhenUsed/>
    <w:uiPriority w:val="39"/>
    <w:pPr>
      <w:spacing w:after="57"/>
      <w:ind w:left="0" w:right="0" w:firstLine="0"/>
    </w:pPr>
  </w:style>
  <w:style w:type="paragraph" w:styleId="24">
    <w:name w:val="toc 4"/>
    <w:basedOn w:val="1"/>
    <w:next w:val="1"/>
    <w:unhideWhenUsed/>
    <w:uiPriority w:val="39"/>
    <w:pPr>
      <w:spacing w:after="57"/>
      <w:ind w:left="850" w:right="0" w:firstLine="0"/>
    </w:pPr>
  </w:style>
  <w:style w:type="paragraph" w:styleId="25">
    <w:name w:val="Subtitle"/>
    <w:basedOn w:val="1"/>
    <w:next w:val="1"/>
    <w:link w:val="52"/>
    <w:qFormat/>
    <w:uiPriority w:val="11"/>
    <w:pPr>
      <w:spacing w:before="200" w:after="200"/>
    </w:pPr>
    <w:rPr>
      <w:sz w:val="24"/>
      <w:szCs w:val="24"/>
    </w:rPr>
  </w:style>
  <w:style w:type="paragraph" w:styleId="26">
    <w:name w:val="footnote text"/>
    <w:basedOn w:val="1"/>
    <w:link w:val="185"/>
    <w:semiHidden/>
    <w:unhideWhenUsed/>
    <w:qFormat/>
    <w:uiPriority w:val="99"/>
    <w:pPr>
      <w:spacing w:after="40" w:line="240" w:lineRule="auto"/>
    </w:pPr>
    <w:rPr>
      <w:sz w:val="18"/>
    </w:rPr>
  </w:style>
  <w:style w:type="paragraph" w:styleId="27">
    <w:name w:val="toc 6"/>
    <w:basedOn w:val="1"/>
    <w:next w:val="1"/>
    <w:unhideWhenUsed/>
    <w:uiPriority w:val="39"/>
    <w:pPr>
      <w:spacing w:after="57"/>
      <w:ind w:left="1417" w:right="0" w:firstLine="0"/>
    </w:pPr>
  </w:style>
  <w:style w:type="paragraph" w:styleId="28">
    <w:name w:val="table of figures"/>
    <w:basedOn w:val="1"/>
    <w:next w:val="1"/>
    <w:unhideWhenUsed/>
    <w:uiPriority w:val="99"/>
    <w:pPr>
      <w:spacing w:after="0" w:afterAutospacing="0"/>
    </w:pPr>
  </w:style>
  <w:style w:type="paragraph" w:styleId="29">
    <w:name w:val="toc 2"/>
    <w:basedOn w:val="1"/>
    <w:next w:val="1"/>
    <w:unhideWhenUsed/>
    <w:uiPriority w:val="39"/>
    <w:pPr>
      <w:spacing w:after="57"/>
      <w:ind w:left="283" w:right="0" w:firstLine="0"/>
    </w:pPr>
  </w:style>
  <w:style w:type="paragraph" w:styleId="30">
    <w:name w:val="toc 9"/>
    <w:basedOn w:val="1"/>
    <w:next w:val="1"/>
    <w:unhideWhenUsed/>
    <w:uiPriority w:val="39"/>
    <w:pPr>
      <w:spacing w:after="57"/>
      <w:ind w:left="2268" w:right="0" w:firstLine="0"/>
    </w:pPr>
  </w:style>
  <w:style w:type="paragraph" w:styleId="31">
    <w:name w:val="Normal (Web)"/>
    <w:basedOn w:val="1"/>
    <w:qFormat/>
    <w:uiPriority w:val="0"/>
    <w:pPr>
      <w:spacing w:before="0" w:beforeAutospacing="1" w:after="0" w:afterAutospacing="1"/>
      <w:ind w:left="0" w:right="0"/>
      <w:jc w:val="left"/>
    </w:pPr>
    <w:rPr>
      <w:sz w:val="24"/>
      <w:lang w:val="en-US" w:eastAsia="zh-CN" w:bidi="ar"/>
    </w:rPr>
  </w:style>
  <w:style w:type="paragraph" w:styleId="32">
    <w:name w:val="Title"/>
    <w:basedOn w:val="1"/>
    <w:next w:val="1"/>
    <w:link w:val="51"/>
    <w:qFormat/>
    <w:uiPriority w:val="10"/>
    <w:pPr>
      <w:spacing w:before="300" w:after="200"/>
      <w:contextualSpacing/>
    </w:pPr>
    <w:rPr>
      <w:sz w:val="48"/>
      <w:szCs w:val="48"/>
    </w:rPr>
  </w:style>
  <w:style w:type="table" w:styleId="34">
    <w:name w:val="Table Grid"/>
    <w:basedOn w:val="3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6">
    <w:name w:val="endnote reference"/>
    <w:basedOn w:val="35"/>
    <w:semiHidden/>
    <w:unhideWhenUsed/>
    <w:uiPriority w:val="99"/>
    <w:rPr>
      <w:vertAlign w:val="superscript"/>
    </w:rPr>
  </w:style>
  <w:style w:type="character" w:styleId="37">
    <w:name w:val="Emphasis"/>
    <w:qFormat/>
    <w:uiPriority w:val="20"/>
    <w:rPr>
      <w:b/>
      <w:i/>
      <w:spacing w:val="10"/>
      <w:shd w:val="clear" w:color="auto" w:fill="auto"/>
    </w:rPr>
  </w:style>
  <w:style w:type="character" w:styleId="38">
    <w:name w:val="Hyperlink"/>
    <w:unhideWhenUsed/>
    <w:qFormat/>
    <w:uiPriority w:val="99"/>
    <w:rPr>
      <w:color w:val="0026E5" w:themeColor="hyperlink"/>
      <w:u w:val="single"/>
      <w14:textFill>
        <w14:solidFill>
          <w14:schemeClr w14:val="hlink"/>
        </w14:solidFill>
      </w14:textFill>
    </w:rPr>
  </w:style>
  <w:style w:type="character" w:styleId="39">
    <w:name w:val="footnote reference"/>
    <w:basedOn w:val="35"/>
    <w:unhideWhenUsed/>
    <w:uiPriority w:val="99"/>
    <w:rPr>
      <w:vertAlign w:val="superscript"/>
    </w:rPr>
  </w:style>
  <w:style w:type="character" w:customStyle="1" w:styleId="40">
    <w:name w:val="Heading 1 Char"/>
    <w:basedOn w:val="35"/>
    <w:qFormat/>
    <w:uiPriority w:val="9"/>
    <w:rPr>
      <w:rFonts w:ascii="Arial" w:hAnsi="Arial" w:eastAsia="Arial" w:cs="Arial"/>
      <w:sz w:val="40"/>
      <w:szCs w:val="40"/>
    </w:rPr>
  </w:style>
  <w:style w:type="character" w:customStyle="1" w:styleId="41">
    <w:name w:val="Heading 2 Char"/>
    <w:basedOn w:val="35"/>
    <w:qFormat/>
    <w:uiPriority w:val="9"/>
    <w:rPr>
      <w:rFonts w:ascii="Arial" w:hAnsi="Arial" w:eastAsia="Arial" w:cs="Arial"/>
      <w:sz w:val="34"/>
    </w:rPr>
  </w:style>
  <w:style w:type="character" w:customStyle="1" w:styleId="42">
    <w:name w:val="Heading 3 Char"/>
    <w:basedOn w:val="35"/>
    <w:link w:val="5"/>
    <w:uiPriority w:val="9"/>
    <w:rPr>
      <w:rFonts w:ascii="Arial" w:hAnsi="Arial" w:eastAsia="Arial" w:cs="Arial"/>
      <w:sz w:val="30"/>
      <w:szCs w:val="30"/>
    </w:rPr>
  </w:style>
  <w:style w:type="character" w:customStyle="1" w:styleId="43">
    <w:name w:val="Heading 4 Char"/>
    <w:basedOn w:val="35"/>
    <w:uiPriority w:val="9"/>
    <w:rPr>
      <w:rFonts w:ascii="Arial" w:hAnsi="Arial" w:eastAsia="Arial" w:cs="Arial"/>
      <w:b/>
      <w:bCs/>
      <w:sz w:val="26"/>
      <w:szCs w:val="26"/>
    </w:rPr>
  </w:style>
  <w:style w:type="character" w:customStyle="1" w:styleId="44">
    <w:name w:val="Heading 5 Char"/>
    <w:basedOn w:val="35"/>
    <w:link w:val="7"/>
    <w:uiPriority w:val="9"/>
    <w:rPr>
      <w:rFonts w:ascii="Arial" w:hAnsi="Arial" w:eastAsia="Arial" w:cs="Arial"/>
      <w:b/>
      <w:bCs/>
      <w:sz w:val="24"/>
      <w:szCs w:val="24"/>
    </w:rPr>
  </w:style>
  <w:style w:type="character" w:customStyle="1" w:styleId="45">
    <w:name w:val="Heading 6 Char"/>
    <w:basedOn w:val="35"/>
    <w:link w:val="8"/>
    <w:uiPriority w:val="9"/>
    <w:rPr>
      <w:rFonts w:ascii="Arial" w:hAnsi="Arial" w:eastAsia="Arial" w:cs="Arial"/>
      <w:b/>
      <w:bCs/>
      <w:sz w:val="22"/>
      <w:szCs w:val="22"/>
    </w:rPr>
  </w:style>
  <w:style w:type="character" w:customStyle="1" w:styleId="46">
    <w:name w:val="Heading 7 Char"/>
    <w:basedOn w:val="35"/>
    <w:link w:val="9"/>
    <w:uiPriority w:val="9"/>
    <w:rPr>
      <w:rFonts w:ascii="Arial" w:hAnsi="Arial" w:eastAsia="Arial" w:cs="Arial"/>
      <w:b/>
      <w:bCs/>
      <w:i/>
      <w:iCs/>
      <w:sz w:val="22"/>
      <w:szCs w:val="22"/>
    </w:rPr>
  </w:style>
  <w:style w:type="character" w:customStyle="1" w:styleId="47">
    <w:name w:val="Heading 8 Char"/>
    <w:basedOn w:val="35"/>
    <w:link w:val="10"/>
    <w:uiPriority w:val="9"/>
    <w:rPr>
      <w:rFonts w:ascii="Arial" w:hAnsi="Arial" w:eastAsia="Arial" w:cs="Arial"/>
      <w:i/>
      <w:iCs/>
      <w:sz w:val="22"/>
      <w:szCs w:val="22"/>
    </w:rPr>
  </w:style>
  <w:style w:type="character" w:customStyle="1" w:styleId="48">
    <w:name w:val="Heading 9 Char"/>
    <w:basedOn w:val="35"/>
    <w:link w:val="11"/>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basedOn w:val="35"/>
    <w:link w:val="32"/>
    <w:qFormat/>
    <w:uiPriority w:val="10"/>
    <w:rPr>
      <w:sz w:val="48"/>
      <w:szCs w:val="48"/>
    </w:rPr>
  </w:style>
  <w:style w:type="character" w:customStyle="1" w:styleId="52">
    <w:name w:val="Subtitle Char"/>
    <w:basedOn w:val="35"/>
    <w:link w:val="25"/>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uiPriority w:val="30"/>
    <w:rPr>
      <w:i/>
    </w:rPr>
  </w:style>
  <w:style w:type="character" w:customStyle="1" w:styleId="57">
    <w:name w:val="Header Char"/>
    <w:basedOn w:val="35"/>
    <w:qFormat/>
    <w:uiPriority w:val="99"/>
  </w:style>
  <w:style w:type="character" w:customStyle="1" w:styleId="58">
    <w:name w:val="Footer Char"/>
    <w:basedOn w:val="35"/>
    <w:uiPriority w:val="99"/>
  </w:style>
  <w:style w:type="character" w:customStyle="1" w:styleId="59">
    <w:name w:val="Caption Char"/>
    <w:qFormat/>
    <w:uiPriority w:val="99"/>
  </w:style>
  <w:style w:type="table" w:customStyle="1" w:styleId="60">
    <w:name w:val="Table Grid Light"/>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basedOn w:val="33"/>
    <w:qFormat/>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basedOn w:val="33"/>
    <w:qFormat/>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basedOn w:val="33"/>
    <w:qFormat/>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basedOn w:val="3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8">
    <w:name w:val="Grid Table 1 Light - Accent 2"/>
    <w:basedOn w:val="33"/>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69">
    <w:name w:val="Grid Table 1 Light - Accent 3"/>
    <w:basedOn w:val="3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0">
    <w:name w:val="Grid Table 1 Light - Accent 4"/>
    <w:basedOn w:val="3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1">
    <w:name w:val="Grid Table 1 Light - Accent 5"/>
    <w:basedOn w:val="3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2">
    <w:name w:val="Grid Table 1 Light - Accent 6"/>
    <w:basedOn w:val="3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3">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basedOn w:val="3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5">
    <w:name w:val="Grid Table 2 - Accent 2"/>
    <w:basedOn w:val="3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6">
    <w:name w:val="Grid Table 2 - Accent 3"/>
    <w:basedOn w:val="3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7">
    <w:name w:val="Grid Table 2 - Accent 4"/>
    <w:basedOn w:val="3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8">
    <w:name w:val="Grid Table 2 - Accent 5"/>
    <w:basedOn w:val="3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79">
    <w:name w:val="Grid Table 2 - Accent 6"/>
    <w:basedOn w:val="3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0">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basedOn w:val="3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2">
    <w:name w:val="Grid Table 3 - Accent 2"/>
    <w:basedOn w:val="33"/>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3">
    <w:name w:val="Grid Table 3 - Accent 3"/>
    <w:basedOn w:val="33"/>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4">
    <w:name w:val="Grid Table 3 - Accent 4"/>
    <w:basedOn w:val="33"/>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5">
    <w:name w:val="Grid Table 3 - Accent 5"/>
    <w:basedOn w:val="33"/>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6">
    <w:name w:val="Grid Table 3 - Accent 6"/>
    <w:basedOn w:val="33"/>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7">
    <w:name w:val="Grid Table 4"/>
    <w:basedOn w:val="33"/>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basedOn w:val="33"/>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89">
    <w:name w:val="Grid Table 4 - Accent 2"/>
    <w:basedOn w:val="33"/>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0">
    <w:name w:val="Grid Table 4 - Accent 3"/>
    <w:basedOn w:val="33"/>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1">
    <w:name w:val="Grid Table 4 - Accent 4"/>
    <w:basedOn w:val="33"/>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2">
    <w:name w:val="Grid Table 4 - Accent 5"/>
    <w:basedOn w:val="33"/>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3">
    <w:name w:val="Grid Table 4 - Accent 6"/>
    <w:basedOn w:val="33"/>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4">
    <w:name w:val="Grid Table 5 Dark"/>
    <w:basedOn w:val="3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basedOn w:val="3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6">
    <w:name w:val="Grid Table 5 Dark - Accent 2"/>
    <w:basedOn w:val="3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7">
    <w:name w:val="Grid Table 5 Dark - Accent 3"/>
    <w:basedOn w:val="3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8">
    <w:name w:val="Grid Table 5 Dark- Accent 4"/>
    <w:basedOn w:val="3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99">
    <w:name w:val="Grid Table 5 Dark - Accent 5"/>
    <w:basedOn w:val="3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0">
    <w:name w:val="Grid Table 5 Dark - Accent 6"/>
    <w:basedOn w:val="3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1">
    <w:name w:val="Grid Table 6 Colorful"/>
    <w:basedOn w:val="33"/>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basedOn w:val="33"/>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basedOn w:val="33"/>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basedOn w:val="33"/>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basedOn w:val="33"/>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basedOn w:val="33"/>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7">
    <w:name w:val="Grid Table 6 Colorful - Accent 6"/>
    <w:basedOn w:val="33"/>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8">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basedOn w:val="33"/>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basedOn w:val="33"/>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basedOn w:val="33"/>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basedOn w:val="33"/>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basedOn w:val="33"/>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4">
    <w:name w:val="Grid Table 7 Colorful - Accent 6"/>
    <w:basedOn w:val="33"/>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5">
    <w:name w:val="List Table 1 Light"/>
    <w:basedOn w:val="33"/>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basedOn w:val="33"/>
    <w:uiPriority w:val="99"/>
    <w:pPr>
      <w:spacing w:after="0" w:line="240" w:lineRule="auto"/>
    </w:pPr>
    <w:tbl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7">
    <w:name w:val="List Table 1 Light - Accent 2"/>
    <w:basedOn w:val="33"/>
    <w:uiPriority w:val="99"/>
    <w:pPr>
      <w:spacing w:after="0" w:line="240" w:lineRule="auto"/>
    </w:pPr>
    <w:tbl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8">
    <w:name w:val="List Table 1 Light - Accent 3"/>
    <w:basedOn w:val="33"/>
    <w:uiPriority w:val="99"/>
    <w:pPr>
      <w:spacing w:after="0" w:line="240" w:lineRule="auto"/>
    </w:pPr>
    <w:tbl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19">
    <w:name w:val="List Table 1 Light - Accent 4"/>
    <w:basedOn w:val="33"/>
    <w:uiPriority w:val="99"/>
    <w:pPr>
      <w:spacing w:after="0" w:line="240" w:lineRule="auto"/>
    </w:pPr>
    <w:tbl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0">
    <w:name w:val="List Table 1 Light - Accent 5"/>
    <w:basedOn w:val="33"/>
    <w:uiPriority w:val="99"/>
    <w:pPr>
      <w:spacing w:after="0" w:line="240" w:lineRule="auto"/>
    </w:pPr>
    <w:tbl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1">
    <w:name w:val="List Table 1 Light - Accent 6"/>
    <w:basedOn w:val="33"/>
    <w:uiPriority w:val="99"/>
    <w:pPr>
      <w:spacing w:after="0" w:line="240" w:lineRule="auto"/>
    </w:pPr>
    <w:tbl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2">
    <w:name w:val="List Table 2"/>
    <w:basedOn w:val="33"/>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basedOn w:val="33"/>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4">
    <w:name w:val="List Table 2 - Accent 2"/>
    <w:basedOn w:val="33"/>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5">
    <w:name w:val="List Table 2 - Accent 3"/>
    <w:basedOn w:val="33"/>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6">
    <w:name w:val="List Table 2 - Accent 4"/>
    <w:basedOn w:val="33"/>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7">
    <w:name w:val="List Table 2 - Accent 5"/>
    <w:basedOn w:val="33"/>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8">
    <w:name w:val="List Table 2 - Accent 6"/>
    <w:basedOn w:val="33"/>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29">
    <w:name w:val="List Table 3"/>
    <w:basedOn w:val="3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basedOn w:val="33"/>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1">
    <w:name w:val="List Table 3 - Accent 2"/>
    <w:basedOn w:val="33"/>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2">
    <w:name w:val="List Table 3 - Accent 3"/>
    <w:basedOn w:val="33"/>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3">
    <w:name w:val="List Table 3 - Accent 4"/>
    <w:basedOn w:val="3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4">
    <w:name w:val="List Table 3 - Accent 5"/>
    <w:basedOn w:val="33"/>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5">
    <w:name w:val="List Table 3 - Accent 6"/>
    <w:basedOn w:val="33"/>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6">
    <w:name w:val="List Table 4"/>
    <w:basedOn w:val="3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basedOn w:val="33"/>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8">
    <w:name w:val="List Table 4 - Accent 2"/>
    <w:basedOn w:val="33"/>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9">
    <w:name w:val="List Table 4 - Accent 3"/>
    <w:basedOn w:val="33"/>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0">
    <w:name w:val="List Table 4 - Accent 4"/>
    <w:basedOn w:val="33"/>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1">
    <w:name w:val="List Table 4 - Accent 5"/>
    <w:basedOn w:val="33"/>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2">
    <w:name w:val="List Table 4 - Accent 6"/>
    <w:basedOn w:val="33"/>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3">
    <w:name w:val="List Table 5 Dark"/>
    <w:basedOn w:val="33"/>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basedOn w:val="33"/>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5">
    <w:name w:val="List Table 5 Dark - Accent 2"/>
    <w:basedOn w:val="33"/>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6">
    <w:name w:val="List Table 5 Dark - Accent 3"/>
    <w:basedOn w:val="33"/>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7">
    <w:name w:val="List Table 5 Dark - Accent 4"/>
    <w:basedOn w:val="33"/>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8">
    <w:name w:val="List Table 5 Dark - Accent 5"/>
    <w:basedOn w:val="33"/>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49">
    <w:name w:val="List Table 5 Dark - Accent 6"/>
    <w:basedOn w:val="33"/>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0">
    <w:name w:val="List Table 6 Colorful"/>
    <w:basedOn w:val="33"/>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basedOn w:val="33"/>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2">
    <w:name w:val="List Table 6 Colorful - Accent 2"/>
    <w:basedOn w:val="33"/>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basedOn w:val="33"/>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basedOn w:val="33"/>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basedOn w:val="33"/>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basedOn w:val="33"/>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7">
    <w:name w:val="List Table 7 Colorful"/>
    <w:basedOn w:val="33"/>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basedOn w:val="33"/>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9">
    <w:name w:val="List Table 7 Colorful - Accent 2"/>
    <w:basedOn w:val="33"/>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basedOn w:val="33"/>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basedOn w:val="33"/>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basedOn w:val="33"/>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basedOn w:val="33"/>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4">
    <w:name w:val="Lined - Accent"/>
    <w:basedOn w:val="33"/>
    <w:qFormat/>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basedOn w:val="33"/>
    <w:qFormat/>
    <w:uiPriority w:val="99"/>
    <w:pPr>
      <w:spacing w:after="0" w:line="240" w:lineRule="auto"/>
    </w:pPr>
    <w:rPr>
      <w:color w:val="404040"/>
    </w:rPr>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6">
    <w:name w:val="Lined - Accent 2"/>
    <w:basedOn w:val="33"/>
    <w:uiPriority w:val="99"/>
    <w:pPr>
      <w:spacing w:after="0" w:line="240" w:lineRule="auto"/>
    </w:pPr>
    <w:rPr>
      <w:color w:val="404040"/>
    </w:rPr>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7">
    <w:name w:val="Lined - Accent 3"/>
    <w:basedOn w:val="33"/>
    <w:uiPriority w:val="99"/>
    <w:pPr>
      <w:spacing w:after="0" w:line="240" w:lineRule="auto"/>
    </w:pPr>
    <w:rPr>
      <w:color w:val="404040"/>
    </w:rPr>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8">
    <w:name w:val="Lined - Accent 4"/>
    <w:basedOn w:val="33"/>
    <w:qFormat/>
    <w:uiPriority w:val="99"/>
    <w:pPr>
      <w:spacing w:after="0" w:line="240" w:lineRule="auto"/>
    </w:pPr>
    <w:rPr>
      <w:color w:val="404040"/>
    </w:rPr>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69">
    <w:name w:val="Lined - Accent 5"/>
    <w:basedOn w:val="33"/>
    <w:uiPriority w:val="99"/>
    <w:pPr>
      <w:spacing w:after="0" w:line="240" w:lineRule="auto"/>
    </w:pPr>
    <w:rPr>
      <w:color w:val="404040"/>
    </w:rPr>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0">
    <w:name w:val="Lined - Accent 6"/>
    <w:basedOn w:val="33"/>
    <w:uiPriority w:val="99"/>
    <w:pPr>
      <w:spacing w:after="0" w:line="240" w:lineRule="auto"/>
    </w:pPr>
    <w:rPr>
      <w:color w:val="404040"/>
    </w:rPr>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1">
    <w:name w:val="Bordered &amp; Lined - Accent"/>
    <w:basedOn w:val="33"/>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basedOn w:val="33"/>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3">
    <w:name w:val="Bordered &amp; Lined - Accent 2"/>
    <w:basedOn w:val="33"/>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4">
    <w:name w:val="Bordered &amp; Lined - Accent 3"/>
    <w:basedOn w:val="33"/>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5">
    <w:name w:val="Bordered &amp; Lined - Accent 4"/>
    <w:basedOn w:val="33"/>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6">
    <w:name w:val="Bordered &amp; Lined - Accent 5"/>
    <w:basedOn w:val="33"/>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7">
    <w:name w:val="Bordered &amp; Lined - Accent 6"/>
    <w:basedOn w:val="33"/>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8">
    <w:name w:val="Bordered"/>
    <w:basedOn w:val="33"/>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basedOn w:val="33"/>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0">
    <w:name w:val="Bordered - Accent 2"/>
    <w:basedOn w:val="33"/>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1">
    <w:name w:val="Bordered - Accent 3"/>
    <w:basedOn w:val="33"/>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2">
    <w:name w:val="Bordered - Accent 4"/>
    <w:basedOn w:val="33"/>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3">
    <w:name w:val="Bordered - Accent 5"/>
    <w:basedOn w:val="33"/>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4">
    <w:name w:val="Bordered - Accent 6"/>
    <w:basedOn w:val="33"/>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5">
    <w:name w:val="Footnote Text Char"/>
    <w:link w:val="26"/>
    <w:uiPriority w:val="99"/>
    <w:rPr>
      <w:sz w:val="18"/>
    </w:rPr>
  </w:style>
  <w:style w:type="character" w:customStyle="1" w:styleId="186">
    <w:name w:val="Endnote Text Char"/>
    <w:link w:val="20"/>
    <w:uiPriority w:val="99"/>
    <w:rPr>
      <w:sz w:val="20"/>
    </w:rPr>
  </w:style>
  <w:style w:type="paragraph" w:customStyle="1" w:styleId="187">
    <w:name w:val="TOC Heading"/>
    <w:unhideWhenUsed/>
    <w:uiPriority w:val="39"/>
    <w:rPr>
      <w:rFonts w:hint="default" w:ascii="Times New Roman" w:hAnsi="Times New Roman"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CDF438-55E1-4207-A48C-A662C10E403C}">
  <ds:schemaRefs/>
</ds:datastoreItem>
</file>

<file path=docProps/app.xml><?xml version="1.0" encoding="utf-8"?>
<Properties xmlns="http://schemas.openxmlformats.org/officeDocument/2006/extended-properties" xmlns:vt="http://schemas.openxmlformats.org/officeDocument/2006/docPropsVTypes">
  <Template>Normal.dotm</Template>
  <Pages>51</Pages>
  <Words>13638</Words>
  <Characters>14549</Characters>
  <TotalTime>0</TotalTime>
  <ScaleCrop>false</ScaleCrop>
  <LinksUpToDate>false</LinksUpToDate>
  <CharactersWithSpaces>14678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2025-06-29T07:27:00Z</dcterms:created>
  <dc:creator>Administrator</dc:creator>
  <cp:lastModifiedBy>Z.</cp:lastModifiedBy>
  <dcterms:modified xsi:type="dcterms:W3CDTF">2026-05-26T08:47:03Z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24986C24D2C24AD2B9AB74B82FB08A1E_13</vt:lpwstr>
  </property>
  <property fmtid="{D5CDD505-2E9C-101B-9397-08002B2CF9AE}" pid="4" name="KSOTemplateDocerSaveRecord">
    <vt:lpwstr>eyJoZGlkIjoiYzliOTZjZjk2YzUzOGMyZDgyZDRmY2NjZjYzYjViNzYiLCJ1c2VySWQiOiI1MzU0NzA1NDcifQ==</vt:lpwstr>
  </property>
</Properties>
</file>